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ACF2" w14:textId="478DF7B3" w:rsidR="00F60E60" w:rsidRPr="00D03DCF" w:rsidRDefault="00F60E60" w:rsidP="00F60E60">
      <w:pPr>
        <w:pStyle w:val="Normal0"/>
        <w:jc w:val="center"/>
        <w:rPr>
          <w:b/>
          <w:bCs/>
        </w:rPr>
      </w:pPr>
      <w:bookmarkStart w:id="0" w:name="_Hlk165417154"/>
      <w:r w:rsidRPr="00D03DCF">
        <w:rPr>
          <w:b/>
          <w:bCs/>
        </w:rPr>
        <w:t xml:space="preserve">The </w:t>
      </w:r>
      <w:r w:rsidR="006D1849">
        <w:rPr>
          <w:b/>
          <w:bCs/>
        </w:rPr>
        <w:t>Impaired Insider</w:t>
      </w:r>
      <w:r w:rsidRPr="00D03DCF">
        <w:rPr>
          <w:b/>
          <w:bCs/>
        </w:rPr>
        <w:t xml:space="preserve"> Paradox</w:t>
      </w:r>
      <w:r w:rsidR="00974FF7">
        <w:rPr>
          <w:b/>
          <w:bCs/>
        </w:rPr>
        <w:t xml:space="preserve"> and </w:t>
      </w:r>
      <w:r w:rsidR="00B24479">
        <w:rPr>
          <w:b/>
          <w:bCs/>
        </w:rPr>
        <w:t>§</w:t>
      </w:r>
      <w:r w:rsidR="00496D93">
        <w:rPr>
          <w:b/>
          <w:bCs/>
        </w:rPr>
        <w:t xml:space="preserve"> </w:t>
      </w:r>
      <w:r w:rsidR="00496D93" w:rsidRPr="00496D93">
        <w:rPr>
          <w:b/>
          <w:bCs/>
        </w:rPr>
        <w:t>1191(b) Solution</w:t>
      </w:r>
      <w:bookmarkEnd w:id="0"/>
    </w:p>
    <w:p w14:paraId="2A8788FA" w14:textId="77777777" w:rsidR="00B24479" w:rsidRDefault="00B24479" w:rsidP="00B24479">
      <w:pPr>
        <w:pStyle w:val="Normal0"/>
        <w:jc w:val="center"/>
      </w:pPr>
    </w:p>
    <w:p w14:paraId="17DFBCE6" w14:textId="346F3D18" w:rsidR="00F60E60" w:rsidRPr="00B24479" w:rsidRDefault="00146988" w:rsidP="00B24479">
      <w:pPr>
        <w:pStyle w:val="Normal0"/>
        <w:jc w:val="center"/>
        <w:rPr>
          <w:i/>
          <w:iCs/>
        </w:rPr>
      </w:pPr>
      <w:r w:rsidRPr="00B24479">
        <w:rPr>
          <w:i/>
          <w:iCs/>
        </w:rPr>
        <w:t>Written by</w:t>
      </w:r>
      <w:r w:rsidR="00D7190D" w:rsidRPr="00B24479">
        <w:rPr>
          <w:i/>
          <w:iCs/>
        </w:rPr>
        <w:t>:</w:t>
      </w:r>
    </w:p>
    <w:p w14:paraId="5BFD8C79" w14:textId="74921CDE" w:rsidR="00D7190D" w:rsidRPr="00B24479" w:rsidRDefault="00D7190D" w:rsidP="00B24479">
      <w:pPr>
        <w:pStyle w:val="Normal0"/>
        <w:jc w:val="center"/>
        <w:rPr>
          <w:i/>
          <w:iCs/>
        </w:rPr>
      </w:pPr>
      <w:r w:rsidRPr="00B24479">
        <w:rPr>
          <w:i/>
          <w:iCs/>
        </w:rPr>
        <w:t>Patricia B. Tomasco</w:t>
      </w:r>
    </w:p>
    <w:p w14:paraId="221C3115" w14:textId="79852DB6" w:rsidR="00D7190D" w:rsidRPr="00B24479" w:rsidRDefault="00C36D66" w:rsidP="00B24479">
      <w:pPr>
        <w:pStyle w:val="Normal0"/>
        <w:jc w:val="center"/>
        <w:rPr>
          <w:i/>
          <w:iCs/>
        </w:rPr>
      </w:pPr>
      <w:r w:rsidRPr="00B24479">
        <w:rPr>
          <w:i/>
          <w:iCs/>
        </w:rPr>
        <w:t>Quinn Emanuel Urquhart &amp; Sullivan, LLP</w:t>
      </w:r>
      <w:r w:rsidRPr="00B24479">
        <w:rPr>
          <w:i/>
          <w:iCs/>
        </w:rPr>
        <w:t>; Houston, Texas</w:t>
      </w:r>
    </w:p>
    <w:p w14:paraId="407ACEE3" w14:textId="4F079C50" w:rsidR="00C36D66" w:rsidRPr="00B24479" w:rsidRDefault="00C36D66" w:rsidP="00B24479">
      <w:pPr>
        <w:pStyle w:val="Normal0"/>
        <w:jc w:val="center"/>
        <w:rPr>
          <w:i/>
          <w:iCs/>
        </w:rPr>
      </w:pPr>
      <w:r w:rsidRPr="00B24479">
        <w:rPr>
          <w:i/>
          <w:iCs/>
        </w:rPr>
        <w:t>Joanna D. Caytas</w:t>
      </w:r>
    </w:p>
    <w:p w14:paraId="31EDE2CB" w14:textId="554CEB19" w:rsidR="00C36D66" w:rsidRDefault="00C36D66" w:rsidP="00B24479">
      <w:pPr>
        <w:pStyle w:val="Normal0"/>
        <w:jc w:val="center"/>
      </w:pPr>
      <w:r w:rsidRPr="00B24479">
        <w:rPr>
          <w:i/>
          <w:iCs/>
        </w:rPr>
        <w:t>Quinn Emanuel Urquhart &amp; Sullivan, LLP; Houston, Texas</w:t>
      </w:r>
    </w:p>
    <w:p w14:paraId="6491AB24" w14:textId="77777777" w:rsidR="0092089D" w:rsidRDefault="0092089D" w:rsidP="00F60E60">
      <w:pPr>
        <w:pStyle w:val="Normal0"/>
        <w:jc w:val="both"/>
      </w:pPr>
    </w:p>
    <w:p w14:paraId="5A56BFDE" w14:textId="56C558BA" w:rsidR="00DF39D6" w:rsidRDefault="003F7FC6" w:rsidP="00F60E60">
      <w:pPr>
        <w:pStyle w:val="Normal0"/>
        <w:jc w:val="both"/>
        <w:rPr>
          <w:b/>
          <w:bCs/>
        </w:rPr>
      </w:pPr>
      <w:r>
        <w:rPr>
          <w:b/>
          <w:bCs/>
        </w:rPr>
        <w:t>Section</w:t>
      </w:r>
      <w:r w:rsidR="00DF39D6">
        <w:rPr>
          <w:b/>
          <w:bCs/>
        </w:rPr>
        <w:t xml:space="preserve"> </w:t>
      </w:r>
      <w:r w:rsidR="00DF39D6" w:rsidRPr="00DF39D6">
        <w:rPr>
          <w:b/>
          <w:bCs/>
        </w:rPr>
        <w:t>1129(a)(10)</w:t>
      </w:r>
      <w:r w:rsidR="00DF39D6">
        <w:rPr>
          <w:b/>
          <w:bCs/>
        </w:rPr>
        <w:t xml:space="preserve"> </w:t>
      </w:r>
      <w:r w:rsidR="00DF39D6" w:rsidRPr="00DF39D6">
        <w:rPr>
          <w:b/>
          <w:bCs/>
        </w:rPr>
        <w:t>Problem</w:t>
      </w:r>
      <w:r w:rsidR="00F60E60" w:rsidRPr="00DF39D6">
        <w:rPr>
          <w:b/>
          <w:bCs/>
        </w:rPr>
        <w:tab/>
      </w:r>
    </w:p>
    <w:p w14:paraId="5BCF7A9A" w14:textId="77777777" w:rsidR="00DF5A0A" w:rsidRPr="00DF39D6" w:rsidRDefault="00DF5A0A" w:rsidP="00F60E60">
      <w:pPr>
        <w:pStyle w:val="Normal0"/>
        <w:jc w:val="both"/>
        <w:rPr>
          <w:b/>
          <w:bCs/>
        </w:rPr>
      </w:pPr>
    </w:p>
    <w:p w14:paraId="7D5E7621" w14:textId="73BC2984" w:rsidR="00F60E60" w:rsidRDefault="00DF39D6" w:rsidP="00F60E60">
      <w:pPr>
        <w:pStyle w:val="Normal0"/>
        <w:jc w:val="both"/>
      </w:pPr>
      <w:r>
        <w:tab/>
      </w:r>
      <w:r w:rsidR="00F60E60">
        <w:t xml:space="preserve">Under </w:t>
      </w:r>
      <w:r w:rsidR="00B24479">
        <w:t>§</w:t>
      </w:r>
      <w:r w:rsidR="00976C1A">
        <w:t xml:space="preserve"> </w:t>
      </w:r>
      <w:r w:rsidR="00F60E60">
        <w:t>1129(a)(10), “[i]f a class of claims is impaired under the plan, at least one class of claims that is impaired under the plan” must accept the plan.</w:t>
      </w:r>
      <w:r w:rsidR="00976C1A">
        <w:rPr>
          <w:rStyle w:val="FootnoteReference"/>
        </w:rPr>
        <w:footnoteReference w:id="1"/>
      </w:r>
      <w:r w:rsidR="00F60E60">
        <w:t xml:space="preserve">  However, a class of insiders cannot serve as the single impaired-accepting class.</w:t>
      </w:r>
      <w:r w:rsidR="00F60E60">
        <w:rPr>
          <w:rStyle w:val="FootnoteReference"/>
        </w:rPr>
        <w:footnoteReference w:id="2"/>
      </w:r>
      <w:r w:rsidR="00F60E60">
        <w:t xml:space="preserve">  Hence, if a plan leaves all non-insider creditors</w:t>
      </w:r>
      <w:r w:rsidR="00DD7348">
        <w:t>’</w:t>
      </w:r>
      <w:r w:rsidR="00F60E60">
        <w:t xml:space="preserve"> classes unimpaired, but a class of insiders has agreed to accept less than 100% on account of their claims, the accepting</w:t>
      </w:r>
      <w:r w:rsidR="00AC0F90">
        <w:t xml:space="preserve"> </w:t>
      </w:r>
      <w:r w:rsidR="00F60E60">
        <w:t>insiders</w:t>
      </w:r>
      <w:r w:rsidR="00DD7348">
        <w:t>’</w:t>
      </w:r>
      <w:r w:rsidR="00F60E60">
        <w:t xml:space="preserve"> willingness to make additional estate funds available to other classes </w:t>
      </w:r>
      <w:r w:rsidR="002D2FED">
        <w:t>results in a</w:t>
      </w:r>
      <w:r w:rsidR="00F82210">
        <w:t xml:space="preserve"> paradoxical </w:t>
      </w:r>
      <w:r w:rsidR="002D2FED">
        <w:t>impediment to</w:t>
      </w:r>
      <w:r w:rsidR="00F60E60">
        <w:t xml:space="preserve"> the confirmation of a plan that </w:t>
      </w:r>
      <w:r w:rsidR="00F82210">
        <w:t>pays</w:t>
      </w:r>
      <w:r w:rsidR="00F60E60">
        <w:t xml:space="preserve"> all non-insiders </w:t>
      </w:r>
      <w:r w:rsidR="00F82210">
        <w:t>in full</w:t>
      </w:r>
      <w:r w:rsidR="00F60E60">
        <w:t>.</w:t>
      </w:r>
    </w:p>
    <w:p w14:paraId="2BE6C122" w14:textId="77777777" w:rsidR="00F60E60" w:rsidRDefault="00F60E60" w:rsidP="00F60E60">
      <w:pPr>
        <w:pStyle w:val="Normal0"/>
        <w:jc w:val="both"/>
      </w:pPr>
    </w:p>
    <w:p w14:paraId="6A0DCC10" w14:textId="5C93FF2A" w:rsidR="00F60E60" w:rsidRDefault="00F60E60" w:rsidP="00F60E60">
      <w:pPr>
        <w:pStyle w:val="Normal0"/>
        <w:jc w:val="both"/>
      </w:pPr>
      <w:r>
        <w:tab/>
        <w:t xml:space="preserve">This exact issue precluded confirmation of the plan proposed in </w:t>
      </w:r>
      <w:r>
        <w:rPr>
          <w:i/>
          <w:iCs/>
        </w:rPr>
        <w:t>In re Ingleside Associates</w:t>
      </w:r>
      <w:r>
        <w:t>, where the debtor proposed a plan that paid all non-insider classes in</w:t>
      </w:r>
      <w:r w:rsidR="00E40C40">
        <w:t xml:space="preserve"> </w:t>
      </w:r>
      <w:r>
        <w:t>full, leaving them unimpaired and not entitled to vote to accept or reject the proposed plan.</w:t>
      </w:r>
      <w:r>
        <w:rPr>
          <w:rStyle w:val="FootnoteReference"/>
        </w:rPr>
        <w:footnoteReference w:id="3"/>
      </w:r>
      <w:r>
        <w:t xml:space="preserve">  The only impaired classes were comprised of insiders.</w:t>
      </w:r>
      <w:r>
        <w:rPr>
          <w:rStyle w:val="FootnoteReference"/>
        </w:rPr>
        <w:footnoteReference w:id="4"/>
      </w:r>
      <w:r>
        <w:t xml:space="preserve">  </w:t>
      </w:r>
      <w:r w:rsidR="00F82210">
        <w:t>T</w:t>
      </w:r>
      <w:r>
        <w:t>he court found that votes cast by insiders could not be considered under 11 U.S.C. § 1129(a)(10)</w:t>
      </w:r>
      <w:r w:rsidR="00E40C40">
        <w:t>,</w:t>
      </w:r>
      <w:r w:rsidR="00F82210">
        <w:t xml:space="preserve"> and denied </w:t>
      </w:r>
      <w:r>
        <w:t>confirmation of the plan.</w:t>
      </w:r>
      <w:r>
        <w:rPr>
          <w:rStyle w:val="FootnoteReference"/>
        </w:rPr>
        <w:footnoteReference w:id="5"/>
      </w:r>
      <w:r>
        <w:t xml:space="preserve">  The court remarked </w:t>
      </w:r>
      <w:r w:rsidRPr="00DF3772">
        <w:t xml:space="preserve">that </w:t>
      </w:r>
      <w:r w:rsidR="001A4A3D">
        <w:t>“</w:t>
      </w:r>
      <w:r w:rsidRPr="00DF3772">
        <w:t>the Debtor</w:t>
      </w:r>
      <w:r w:rsidR="00DD7348">
        <w:t>’</w:t>
      </w:r>
      <w:r w:rsidRPr="00DF3772">
        <w:t>s efforts to confirm a plan which impaired only insiders</w:t>
      </w:r>
      <w:r w:rsidR="00DD7348">
        <w:t>’</w:t>
      </w:r>
      <w:r w:rsidRPr="00DF3772">
        <w:t xml:space="preserve"> claims </w:t>
      </w:r>
      <w:r w:rsidRPr="00DF3772">
        <w:rPr>
          <w:i/>
          <w:iCs/>
        </w:rPr>
        <w:t>were an attempt to achieve the impossible</w:t>
      </w:r>
      <w:r w:rsidRPr="00DF3772">
        <w:t>.</w:t>
      </w:r>
      <w:r w:rsidR="00C46001">
        <w:t>”</w:t>
      </w:r>
      <w:r w:rsidR="00E40C40">
        <w:rPr>
          <w:rStyle w:val="FootnoteReference"/>
        </w:rPr>
        <w:footnoteReference w:id="6"/>
      </w:r>
      <w:r>
        <w:t xml:space="preserve"> </w:t>
      </w:r>
      <w:r w:rsidRPr="00DF3772">
        <w:t xml:space="preserve"> </w:t>
      </w:r>
    </w:p>
    <w:p w14:paraId="2002AF7B" w14:textId="77777777" w:rsidR="003D2100" w:rsidRDefault="003D2100" w:rsidP="00F60E60">
      <w:pPr>
        <w:pStyle w:val="Normal0"/>
        <w:jc w:val="both"/>
      </w:pPr>
    </w:p>
    <w:p w14:paraId="5EA0AE44" w14:textId="77777777" w:rsidR="00B24479" w:rsidRDefault="0097505F" w:rsidP="00F60E60">
      <w:pPr>
        <w:pStyle w:val="Normal0"/>
        <w:jc w:val="both"/>
      </w:pPr>
      <w:r>
        <w:rPr>
          <w:i/>
          <w:iCs/>
        </w:rPr>
        <w:tab/>
      </w:r>
      <w:r w:rsidR="00F82210">
        <w:t>A</w:t>
      </w:r>
      <w:r w:rsidR="00A65800">
        <w:t xml:space="preserve">bsent an amendment by Congress resolving </w:t>
      </w:r>
      <w:r w:rsidR="00434504">
        <w:t>this</w:t>
      </w:r>
      <w:r w:rsidR="00A65800">
        <w:t xml:space="preserve"> arguabl</w:t>
      </w:r>
      <w:r w:rsidR="00434504">
        <w:t xml:space="preserve">y unintended </w:t>
      </w:r>
      <w:r w:rsidR="00A65800">
        <w:t>glitch in the Bankruptcy Code</w:t>
      </w:r>
      <w:r w:rsidR="00F82210">
        <w:t>,</w:t>
      </w:r>
      <w:r w:rsidR="000F48DE">
        <w:t xml:space="preserve"> </w:t>
      </w:r>
      <w:r w:rsidR="00F82210">
        <w:t>few</w:t>
      </w:r>
      <w:r w:rsidR="000F48DE">
        <w:t xml:space="preserve"> practical solutions </w:t>
      </w:r>
      <w:r w:rsidR="00F82210">
        <w:t xml:space="preserve">emerge to correct the </w:t>
      </w:r>
      <w:r w:rsidR="000F48DE">
        <w:t xml:space="preserve">legal impossibility built into § 1129(a)(10). </w:t>
      </w:r>
    </w:p>
    <w:p w14:paraId="19EBB037" w14:textId="2C9EAEB2" w:rsidR="00364478" w:rsidRDefault="00F60E60" w:rsidP="00F60E60">
      <w:pPr>
        <w:pStyle w:val="Normal0"/>
        <w:jc w:val="both"/>
      </w:pPr>
      <w:r>
        <w:tab/>
      </w:r>
    </w:p>
    <w:p w14:paraId="3C14EDCB" w14:textId="33286F3A" w:rsidR="00364478" w:rsidRDefault="00364478" w:rsidP="003F7FC6">
      <w:pPr>
        <w:pStyle w:val="Normal0"/>
        <w:keepNext/>
        <w:jc w:val="both"/>
      </w:pPr>
      <w:r>
        <w:rPr>
          <w:b/>
          <w:bCs/>
        </w:rPr>
        <w:lastRenderedPageBreak/>
        <w:t xml:space="preserve">Solutions To </w:t>
      </w:r>
      <w:r w:rsidR="00B24479">
        <w:rPr>
          <w:b/>
          <w:bCs/>
        </w:rPr>
        <w:t>§</w:t>
      </w:r>
      <w:r>
        <w:rPr>
          <w:b/>
          <w:bCs/>
        </w:rPr>
        <w:t xml:space="preserve"> </w:t>
      </w:r>
      <w:r w:rsidRPr="00DF39D6">
        <w:rPr>
          <w:b/>
          <w:bCs/>
        </w:rPr>
        <w:t>1129(a)(10)</w:t>
      </w:r>
      <w:r>
        <w:rPr>
          <w:b/>
          <w:bCs/>
        </w:rPr>
        <w:t xml:space="preserve"> Problem</w:t>
      </w:r>
    </w:p>
    <w:p w14:paraId="5E7784F0" w14:textId="77777777" w:rsidR="00F60E60" w:rsidRDefault="00F60E60" w:rsidP="003F7FC6">
      <w:pPr>
        <w:pStyle w:val="Normal0"/>
        <w:keepNext/>
        <w:jc w:val="both"/>
      </w:pPr>
    </w:p>
    <w:p w14:paraId="73FB5A76" w14:textId="35A4183F" w:rsidR="00364478" w:rsidRPr="00496D93" w:rsidRDefault="00364478" w:rsidP="003F7FC6">
      <w:pPr>
        <w:pStyle w:val="Normal0"/>
        <w:keepNext/>
        <w:jc w:val="both"/>
        <w:rPr>
          <w:b/>
          <w:bCs/>
          <w:i/>
          <w:iCs/>
        </w:rPr>
      </w:pPr>
      <w:r w:rsidRPr="00496D93">
        <w:rPr>
          <w:b/>
          <w:bCs/>
          <w:i/>
          <w:iCs/>
        </w:rPr>
        <w:t xml:space="preserve">Artificial </w:t>
      </w:r>
      <w:r w:rsidR="00224EA3" w:rsidRPr="00496D93">
        <w:rPr>
          <w:b/>
          <w:bCs/>
          <w:i/>
          <w:iCs/>
        </w:rPr>
        <w:t>I</w:t>
      </w:r>
      <w:r w:rsidRPr="00496D93">
        <w:rPr>
          <w:b/>
          <w:bCs/>
          <w:i/>
          <w:iCs/>
        </w:rPr>
        <w:t xml:space="preserve">mpairment </w:t>
      </w:r>
    </w:p>
    <w:p w14:paraId="3FB7E472" w14:textId="73CBFED0" w:rsidR="00364478" w:rsidRDefault="00F60E60" w:rsidP="003F7FC6">
      <w:pPr>
        <w:pStyle w:val="Normal0"/>
        <w:keepNext/>
        <w:jc w:val="both"/>
      </w:pPr>
      <w:r>
        <w:tab/>
      </w:r>
    </w:p>
    <w:p w14:paraId="74598D34" w14:textId="09CE6DCD" w:rsidR="002B1386" w:rsidRDefault="008118FC" w:rsidP="002B1386">
      <w:pPr>
        <w:pStyle w:val="Normal0"/>
        <w:jc w:val="both"/>
      </w:pPr>
      <w:r>
        <w:tab/>
      </w:r>
      <w:r w:rsidR="00364478">
        <w:t xml:space="preserve">In </w:t>
      </w:r>
      <w:r w:rsidR="00364478">
        <w:rPr>
          <w:i/>
          <w:iCs/>
        </w:rPr>
        <w:t>Ingleside</w:t>
      </w:r>
      <w:r w:rsidR="00364478">
        <w:t xml:space="preserve">, the court noted that a </w:t>
      </w:r>
      <w:r w:rsidR="00FA3F8A">
        <w:t xml:space="preserve">prior </w:t>
      </w:r>
      <w:r w:rsidR="00364478">
        <w:t>plan would have been confirmable because it impaired a non-insider class.</w:t>
      </w:r>
      <w:r w:rsidR="00364478">
        <w:rPr>
          <w:rStyle w:val="FootnoteReference"/>
        </w:rPr>
        <w:footnoteReference w:id="7"/>
      </w:r>
      <w:r w:rsidR="00364478">
        <w:t xml:space="preserve">  </w:t>
      </w:r>
      <w:r w:rsidR="00F95D45">
        <w:t>However, “artificial” impairment is prohibited in some circuits.</w:t>
      </w:r>
      <w:r w:rsidR="00F95D45">
        <w:rPr>
          <w:rStyle w:val="FootnoteReference"/>
        </w:rPr>
        <w:footnoteReference w:id="8"/>
      </w:r>
      <w:r w:rsidR="00F95D45">
        <w:t xml:space="preserve">  Those jurisdiction</w:t>
      </w:r>
      <w:r w:rsidR="00F82210">
        <w:t>s</w:t>
      </w:r>
      <w:r w:rsidR="00F95D45">
        <w:t xml:space="preserve"> rejecting the construct of artificial impairment foreclose debtors from securing confirmation through an “exercise of discretion.”</w:t>
      </w:r>
      <w:r w:rsidR="00F95D45">
        <w:rPr>
          <w:rStyle w:val="FootnoteReference"/>
        </w:rPr>
        <w:footnoteReference w:id="9"/>
      </w:r>
      <w:r w:rsidR="00F95D45">
        <w:t xml:space="preserve">  </w:t>
      </w:r>
    </w:p>
    <w:p w14:paraId="303D5482" w14:textId="77777777" w:rsidR="002B1386" w:rsidRDefault="002B1386" w:rsidP="002B1386">
      <w:pPr>
        <w:pStyle w:val="Normal0"/>
        <w:jc w:val="both"/>
      </w:pPr>
    </w:p>
    <w:p w14:paraId="2FCB56B5" w14:textId="2A8AF748" w:rsidR="00615BF4" w:rsidRPr="00496D93" w:rsidRDefault="00615BF4" w:rsidP="002B1386">
      <w:pPr>
        <w:pStyle w:val="Normal0"/>
        <w:jc w:val="both"/>
        <w:rPr>
          <w:b/>
          <w:bCs/>
          <w:i/>
          <w:iCs/>
        </w:rPr>
      </w:pPr>
      <w:r w:rsidRPr="00496D93">
        <w:rPr>
          <w:b/>
          <w:bCs/>
          <w:i/>
          <w:iCs/>
        </w:rPr>
        <w:t>No Voting Classes</w:t>
      </w:r>
    </w:p>
    <w:p w14:paraId="3572A3FF" w14:textId="77777777" w:rsidR="00615BF4" w:rsidRDefault="00615BF4" w:rsidP="00F60E60">
      <w:pPr>
        <w:pStyle w:val="Normal0"/>
        <w:jc w:val="both"/>
      </w:pPr>
    </w:p>
    <w:p w14:paraId="6E254B7B" w14:textId="7AD4DDF1" w:rsidR="00F53633" w:rsidRDefault="00615BF4" w:rsidP="00F60E60">
      <w:pPr>
        <w:pStyle w:val="Normal0"/>
        <w:jc w:val="both"/>
      </w:pPr>
      <w:r>
        <w:tab/>
        <w:t>A</w:t>
      </w:r>
      <w:r w:rsidR="00F60E60">
        <w:t xml:space="preserve"> debtor could </w:t>
      </w:r>
      <w:r>
        <w:t xml:space="preserve">also side-step the problem </w:t>
      </w:r>
      <w:r w:rsidR="00995FB3">
        <w:t>posed by</w:t>
      </w:r>
      <w:r>
        <w:t xml:space="preserve"> </w:t>
      </w:r>
      <w:r w:rsidR="00B24479">
        <w:t>§</w:t>
      </w:r>
      <w:r>
        <w:t xml:space="preserve"> 1129(a)(10) by paying </w:t>
      </w:r>
      <w:r w:rsidR="007A3A2C">
        <w:t>the</w:t>
      </w:r>
      <w:r w:rsidR="00F60E60">
        <w:t xml:space="preserve"> insiders in full</w:t>
      </w:r>
      <w:r>
        <w:t xml:space="preserve">. </w:t>
      </w:r>
      <w:r w:rsidR="00995FB3">
        <w:t xml:space="preserve"> </w:t>
      </w:r>
      <w:r>
        <w:t xml:space="preserve">This could be achieved </w:t>
      </w:r>
      <w:r w:rsidR="00F60E60">
        <w:t xml:space="preserve"> through voluntary modification </w:t>
      </w:r>
      <w:r w:rsidR="007A3A2C">
        <w:t>by</w:t>
      </w:r>
      <w:r w:rsidR="00F60E60">
        <w:t xml:space="preserve"> settlement or other device</w:t>
      </w:r>
      <w:r w:rsidR="00995FB3">
        <w:t xml:space="preserve">.  </w:t>
      </w:r>
      <w:r w:rsidR="00AF2FA4">
        <w:t>As a downside, this</w:t>
      </w:r>
      <w:r w:rsidR="00F60E60">
        <w:t xml:space="preserve"> result may leave the insider class with less than acceptable payment rights upon confirmation</w:t>
      </w:r>
      <w:r w:rsidR="002A152A">
        <w:t xml:space="preserve"> of the plan</w:t>
      </w:r>
      <w:r w:rsidR="00F60E60">
        <w:t xml:space="preserve">.  </w:t>
      </w:r>
    </w:p>
    <w:p w14:paraId="77EF39AF" w14:textId="77777777" w:rsidR="00F53633" w:rsidRDefault="00F53633" w:rsidP="00F60E60">
      <w:pPr>
        <w:pStyle w:val="Normal0"/>
        <w:jc w:val="both"/>
      </w:pPr>
    </w:p>
    <w:p w14:paraId="3EDDFB49" w14:textId="77777777" w:rsidR="00A338EC" w:rsidRPr="00496D93" w:rsidRDefault="00A338EC" w:rsidP="00A338EC">
      <w:pPr>
        <w:pStyle w:val="Normal0"/>
        <w:keepNext/>
        <w:jc w:val="both"/>
        <w:rPr>
          <w:b/>
          <w:bCs/>
          <w:i/>
          <w:iCs/>
        </w:rPr>
      </w:pPr>
      <w:r w:rsidRPr="00496D93">
        <w:rPr>
          <w:b/>
          <w:bCs/>
          <w:i/>
          <w:iCs/>
        </w:rPr>
        <w:t>Insiders Abstaining From Voting</w:t>
      </w:r>
    </w:p>
    <w:p w14:paraId="64FE05F2" w14:textId="77777777" w:rsidR="00A338EC" w:rsidRDefault="00A338EC" w:rsidP="00A338EC">
      <w:pPr>
        <w:pStyle w:val="Normal0"/>
        <w:keepNext/>
        <w:jc w:val="both"/>
        <w:rPr>
          <w:i/>
          <w:iCs/>
        </w:rPr>
      </w:pPr>
    </w:p>
    <w:p w14:paraId="30DA1ADA" w14:textId="583CFD2A" w:rsidR="00F53633" w:rsidRDefault="00A338EC" w:rsidP="00A338EC">
      <w:pPr>
        <w:pStyle w:val="Normal0"/>
        <w:jc w:val="both"/>
      </w:pPr>
      <w:r>
        <w:tab/>
      </w:r>
      <w:r w:rsidRPr="00C750CD">
        <w:t xml:space="preserve">The Bankruptcy Court for the Southern District of Texas recently ruled in </w:t>
      </w:r>
      <w:r>
        <w:t>two separate</w:t>
      </w:r>
      <w:r w:rsidRPr="00C750CD">
        <w:t xml:space="preserve"> Subchapter V proceeding</w:t>
      </w:r>
      <w:r>
        <w:t>s</w:t>
      </w:r>
      <w:r w:rsidR="00517583">
        <w:t xml:space="preserve">, </w:t>
      </w:r>
      <w:r w:rsidR="00517583" w:rsidRPr="00C750CD">
        <w:rPr>
          <w:i/>
          <w:iCs/>
        </w:rPr>
        <w:t>In re Franco</w:t>
      </w:r>
      <w:r w:rsidR="00517583">
        <w:rPr>
          <w:i/>
          <w:iCs/>
        </w:rPr>
        <w:t>’</w:t>
      </w:r>
      <w:r w:rsidR="00517583" w:rsidRPr="00C750CD">
        <w:rPr>
          <w:i/>
          <w:iCs/>
        </w:rPr>
        <w:t>s Paving</w:t>
      </w:r>
      <w:r w:rsidR="00517583">
        <w:t xml:space="preserve"> and </w:t>
      </w:r>
      <w:r w:rsidR="00517583" w:rsidRPr="00E0498A">
        <w:rPr>
          <w:i/>
          <w:iCs/>
        </w:rPr>
        <w:t xml:space="preserve">In re </w:t>
      </w:r>
      <w:proofErr w:type="spellStart"/>
      <w:r w:rsidR="00517583" w:rsidRPr="00E0498A">
        <w:rPr>
          <w:i/>
          <w:iCs/>
        </w:rPr>
        <w:t>Hot</w:t>
      </w:r>
      <w:r w:rsidR="00517583">
        <w:rPr>
          <w:i/>
          <w:iCs/>
        </w:rPr>
        <w:t>’</w:t>
      </w:r>
      <w:r w:rsidR="00517583" w:rsidRPr="00E0498A">
        <w:rPr>
          <w:i/>
          <w:iCs/>
        </w:rPr>
        <w:t>z</w:t>
      </w:r>
      <w:proofErr w:type="spellEnd"/>
      <w:r w:rsidR="00517583" w:rsidRPr="00E0498A">
        <w:rPr>
          <w:i/>
          <w:iCs/>
        </w:rPr>
        <w:t xml:space="preserve"> Power Wash</w:t>
      </w:r>
      <w:r w:rsidR="00517583">
        <w:t xml:space="preserve">, </w:t>
      </w:r>
      <w:r w:rsidRPr="00C750CD">
        <w:t>that a creditor class which cast no votes on a proposed plan would not be considered in determining whether the plan could be confirmed as consensual.</w:t>
      </w:r>
      <w:r w:rsidR="00517583">
        <w:rPr>
          <w:rStyle w:val="FootnoteReference"/>
        </w:rPr>
        <w:footnoteReference w:id="10"/>
      </w:r>
      <w:r w:rsidRPr="00C750CD">
        <w:t xml:space="preserve"> </w:t>
      </w:r>
      <w:r>
        <w:t xml:space="preserve"> By disregarding a class that did not cast a vote, the bankruptcy court disagreed with the only circuit court that ruled on the issue: the Tenth Circuit held in a controversial chapter 11 decision </w:t>
      </w:r>
      <w:r w:rsidR="00517583" w:rsidRPr="0040651E">
        <w:rPr>
          <w:i/>
          <w:iCs/>
        </w:rPr>
        <w:t>In re Ruti-Sweetwater</w:t>
      </w:r>
      <w:r w:rsidR="00517583">
        <w:rPr>
          <w:i/>
          <w:iCs/>
        </w:rPr>
        <w:t xml:space="preserve"> </w:t>
      </w:r>
      <w:r>
        <w:t xml:space="preserve">that </w:t>
      </w:r>
      <w:r w:rsidRPr="00C2044A">
        <w:t xml:space="preserve">in situations where no votes were cast in a class, </w:t>
      </w:r>
      <w:r w:rsidRPr="00465FD0">
        <w:t>the non-voting creditors had consented to the debtor</w:t>
      </w:r>
      <w:r w:rsidR="00DD7348">
        <w:t>’</w:t>
      </w:r>
      <w:r w:rsidRPr="00465FD0">
        <w:t>s plan and that their inaction amounted to a deemed acceptance</w:t>
      </w:r>
      <w:r w:rsidR="00517583">
        <w:t>.</w:t>
      </w:r>
      <w:r w:rsidR="00517583">
        <w:rPr>
          <w:rStyle w:val="FootnoteReference"/>
        </w:rPr>
        <w:footnoteReference w:id="11"/>
      </w:r>
      <w:r w:rsidR="00517583">
        <w:t xml:space="preserve"> </w:t>
      </w:r>
      <w:r w:rsidRPr="00465FD0">
        <w:t xml:space="preserve"> </w:t>
      </w:r>
      <w:r>
        <w:t>Several other courts disagreed with the Tenth Circuit</w:t>
      </w:r>
      <w:r w:rsidR="00517583">
        <w:t xml:space="preserve">, including the </w:t>
      </w:r>
      <w:r w:rsidR="00325606" w:rsidRPr="009F2757">
        <w:t>Bankruptcy Appellate Panel</w:t>
      </w:r>
      <w:r w:rsidR="00325606">
        <w:t xml:space="preserve"> for the Ninth Circuit</w:t>
      </w:r>
      <w:r>
        <w:t>.</w:t>
      </w:r>
      <w:r w:rsidR="00976C1A">
        <w:rPr>
          <w:rStyle w:val="FootnoteReference"/>
        </w:rPr>
        <w:footnoteReference w:id="12"/>
      </w:r>
      <w:r>
        <w:t xml:space="preserve">  </w:t>
      </w:r>
    </w:p>
    <w:p w14:paraId="6A8628C5" w14:textId="77777777" w:rsidR="00A338EC" w:rsidRDefault="00A338EC" w:rsidP="00A338EC">
      <w:pPr>
        <w:pStyle w:val="Normal0"/>
        <w:jc w:val="both"/>
      </w:pPr>
    </w:p>
    <w:p w14:paraId="4E77A46A" w14:textId="622DCEBE" w:rsidR="00A338EC" w:rsidRDefault="00A338EC" w:rsidP="00A338EC">
      <w:pPr>
        <w:pStyle w:val="Normal0"/>
        <w:jc w:val="both"/>
      </w:pPr>
      <w:r>
        <w:tab/>
        <w:t xml:space="preserve">If </w:t>
      </w:r>
      <w:r w:rsidR="006C0CD7">
        <w:t xml:space="preserve">disregarding an abstaining class </w:t>
      </w:r>
      <w:r w:rsidR="00E21BB7">
        <w:t xml:space="preserve">for the purposes of plan confirmation </w:t>
      </w:r>
      <w:r w:rsidR="006C0CD7">
        <w:t xml:space="preserve">can be extended to </w:t>
      </w:r>
      <w:r w:rsidR="00E6512B">
        <w:t xml:space="preserve">non-subchapter V </w:t>
      </w:r>
      <w:r w:rsidR="006C0CD7">
        <w:t xml:space="preserve">chapter 11 cases, </w:t>
      </w:r>
      <w:r w:rsidR="001C5C20">
        <w:t xml:space="preserve">a plan could be confirmed as consensual </w:t>
      </w:r>
      <w:r w:rsidR="001C5C20">
        <w:lastRenderedPageBreak/>
        <w:t xml:space="preserve">in a </w:t>
      </w:r>
      <w:r w:rsidR="002027B0">
        <w:t xml:space="preserve">proceeding </w:t>
      </w:r>
      <w:r w:rsidR="001C5C20">
        <w:t>where insiders are the only impaired class</w:t>
      </w:r>
      <w:r w:rsidR="002027B0">
        <w:t xml:space="preserve"> and decline to vote on the plan</w:t>
      </w:r>
      <w:r w:rsidR="001C5C20">
        <w:t xml:space="preserve">.  However, </w:t>
      </w:r>
      <w:r w:rsidR="005A0C2C">
        <w:t xml:space="preserve">this strategy </w:t>
      </w:r>
      <w:r w:rsidR="002027B0">
        <w:t>would be</w:t>
      </w:r>
      <w:r w:rsidR="005A0C2C">
        <w:t xml:space="preserve"> more safely </w:t>
      </w:r>
      <w:r w:rsidR="002027B0">
        <w:t>deployed</w:t>
      </w:r>
      <w:r w:rsidR="005A0C2C">
        <w:t xml:space="preserve"> in subchapter V cases. </w:t>
      </w:r>
    </w:p>
    <w:p w14:paraId="0F14F7BA" w14:textId="77777777" w:rsidR="00F60E60" w:rsidRDefault="00F60E60" w:rsidP="00F60E60">
      <w:pPr>
        <w:pStyle w:val="Normal0"/>
        <w:jc w:val="both"/>
      </w:pPr>
      <w:r>
        <w:tab/>
      </w:r>
    </w:p>
    <w:p w14:paraId="327054A4" w14:textId="4079E40D" w:rsidR="00F60E60" w:rsidRPr="00496D93" w:rsidRDefault="00DF39D6" w:rsidP="00F60E60">
      <w:pPr>
        <w:pStyle w:val="Normal0"/>
        <w:jc w:val="both"/>
        <w:rPr>
          <w:b/>
          <w:bCs/>
          <w:i/>
          <w:iCs/>
        </w:rPr>
      </w:pPr>
      <w:r w:rsidRPr="00496D93">
        <w:rPr>
          <w:b/>
          <w:bCs/>
          <w:i/>
          <w:iCs/>
        </w:rPr>
        <w:t xml:space="preserve">The § </w:t>
      </w:r>
      <w:r w:rsidR="00DF5A0A" w:rsidRPr="00496D93">
        <w:rPr>
          <w:b/>
          <w:bCs/>
          <w:i/>
          <w:iCs/>
        </w:rPr>
        <w:t>1191(b) Solution</w:t>
      </w:r>
      <w:r w:rsidRPr="00496D93">
        <w:rPr>
          <w:b/>
          <w:bCs/>
          <w:i/>
          <w:iCs/>
        </w:rPr>
        <w:tab/>
      </w:r>
    </w:p>
    <w:p w14:paraId="0FB00323" w14:textId="77777777" w:rsidR="005E6B22" w:rsidRDefault="005E6B22">
      <w:pPr>
        <w:pStyle w:val="Normal0"/>
      </w:pPr>
    </w:p>
    <w:p w14:paraId="2D10BC35" w14:textId="6647FFE0" w:rsidR="007A3A2C" w:rsidRDefault="009965F3" w:rsidP="009965F3">
      <w:pPr>
        <w:pStyle w:val="Normal0"/>
        <w:jc w:val="both"/>
      </w:pPr>
      <w:r>
        <w:tab/>
      </w:r>
      <w:r w:rsidR="007A3A2C">
        <w:t xml:space="preserve">In a subset of chapter 11 cases, a </w:t>
      </w:r>
      <w:r>
        <w:t>creative</w:t>
      </w:r>
      <w:r w:rsidR="007A3A2C">
        <w:t xml:space="preserve"> bankruptcy professional </w:t>
      </w:r>
      <w:r w:rsidR="007923F3">
        <w:t>may turn to</w:t>
      </w:r>
      <w:r>
        <w:t xml:space="preserve"> subchapter V of chapter 11.</w:t>
      </w:r>
      <w:r w:rsidR="00CF4610">
        <w:rPr>
          <w:rStyle w:val="FootnoteReference"/>
        </w:rPr>
        <w:footnoteReference w:id="13"/>
      </w:r>
      <w:r>
        <w:t xml:space="preserve"> </w:t>
      </w:r>
    </w:p>
    <w:p w14:paraId="38278BBF" w14:textId="77777777" w:rsidR="00D34372" w:rsidRDefault="00D34372" w:rsidP="009965F3">
      <w:pPr>
        <w:pStyle w:val="Normal0"/>
        <w:jc w:val="both"/>
      </w:pPr>
    </w:p>
    <w:p w14:paraId="1C38383B" w14:textId="64DA2E18" w:rsidR="00D34372" w:rsidRDefault="00D34372" w:rsidP="009965F3">
      <w:pPr>
        <w:pStyle w:val="Normal0"/>
        <w:jc w:val="both"/>
      </w:pPr>
      <w:r>
        <w:tab/>
        <w:t>Subchapter V solutions typically are not on the radar of bankruptcy professional</w:t>
      </w:r>
      <w:r w:rsidR="004B1646">
        <w:t>s</w:t>
      </w:r>
      <w:r>
        <w:t xml:space="preserve"> </w:t>
      </w:r>
      <w:r w:rsidR="0068418C">
        <w:t xml:space="preserve">involved in </w:t>
      </w:r>
      <w:r w:rsidR="001606BF">
        <w:t>“</w:t>
      </w:r>
      <w:r w:rsidR="0068418C">
        <w:t>complex</w:t>
      </w:r>
      <w:r w:rsidR="001606BF">
        <w:t>”</w:t>
      </w:r>
      <w:r w:rsidR="0068418C">
        <w:t xml:space="preserve"> or </w:t>
      </w:r>
      <w:r w:rsidR="001606BF">
        <w:t>“</w:t>
      </w:r>
      <w:r w:rsidR="0068418C">
        <w:t>mega</w:t>
      </w:r>
      <w:r w:rsidR="001606BF">
        <w:t>”</w:t>
      </w:r>
      <w:r w:rsidR="0068418C">
        <w:t xml:space="preserve"> cases—typically those where liabilities exceed </w:t>
      </w:r>
      <w:r w:rsidR="00E6512B">
        <w:t>seven</w:t>
      </w:r>
      <w:r w:rsidR="00EA11ED">
        <w:t xml:space="preserve"> figures. </w:t>
      </w:r>
      <w:r w:rsidR="00482CB7">
        <w:t xml:space="preserve"> </w:t>
      </w:r>
      <w:r w:rsidR="00EA11ED">
        <w:t xml:space="preserve">And for a good reason: the most significant limitation of </w:t>
      </w:r>
      <w:r w:rsidR="0097389F">
        <w:t>subchapter</w:t>
      </w:r>
      <w:r w:rsidR="00EA11ED">
        <w:t xml:space="preserve"> V is its </w:t>
      </w:r>
      <w:r w:rsidR="0097389F">
        <w:t>availability</w:t>
      </w:r>
      <w:r w:rsidR="00EA11ED">
        <w:t xml:space="preserve"> to </w:t>
      </w:r>
      <w:r w:rsidR="0013610D">
        <w:t xml:space="preserve">a </w:t>
      </w:r>
      <w:r w:rsidR="00F9630A" w:rsidRPr="00F9630A">
        <w:t>“small business debtor</w:t>
      </w:r>
      <w:r w:rsidR="00482CB7">
        <w:t>,</w:t>
      </w:r>
      <w:r w:rsidR="00F9630A" w:rsidRPr="00F9630A">
        <w:t>”</w:t>
      </w:r>
      <w:r w:rsidR="001606BF">
        <w:t xml:space="preserve"> defined as a </w:t>
      </w:r>
      <w:r w:rsidR="0097389F">
        <w:t xml:space="preserve">debtor with </w:t>
      </w:r>
      <w:r w:rsidR="00732757">
        <w:t>at most a few millions</w:t>
      </w:r>
      <w:r w:rsidR="0013610D">
        <w:t xml:space="preserve"> </w:t>
      </w:r>
      <w:r w:rsidR="001606BF">
        <w:t xml:space="preserve">of dollars </w:t>
      </w:r>
      <w:r w:rsidR="0013610D">
        <w:t>in liabilities</w:t>
      </w:r>
      <w:r w:rsidR="00876760">
        <w:t>.</w:t>
      </w:r>
      <w:bookmarkStart w:id="1" w:name="_Ref165214238"/>
      <w:r w:rsidR="00876760">
        <w:rPr>
          <w:rStyle w:val="FootnoteReference"/>
        </w:rPr>
        <w:footnoteReference w:id="14"/>
      </w:r>
      <w:bookmarkEnd w:id="1"/>
    </w:p>
    <w:p w14:paraId="17F9CA7F" w14:textId="77777777" w:rsidR="007923F3" w:rsidRDefault="007923F3" w:rsidP="009965F3">
      <w:pPr>
        <w:pStyle w:val="Normal0"/>
        <w:jc w:val="both"/>
      </w:pPr>
    </w:p>
    <w:p w14:paraId="019B5123" w14:textId="367F80ED" w:rsidR="00B74A84" w:rsidRDefault="001E0CB1" w:rsidP="009965F3">
      <w:pPr>
        <w:pStyle w:val="Normal0"/>
        <w:jc w:val="both"/>
      </w:pPr>
      <w:r>
        <w:tab/>
      </w:r>
      <w:r w:rsidR="008B1B2D">
        <w:t>Of particular interest</w:t>
      </w:r>
      <w:r>
        <w:t xml:space="preserve"> to bankruptcy </w:t>
      </w:r>
      <w:r w:rsidR="00B95595">
        <w:t>professionals specializing in complex bankruptc</w:t>
      </w:r>
      <w:r w:rsidR="008B1B2D">
        <w:t>ies should be the fact that</w:t>
      </w:r>
      <w:r w:rsidR="00B95595">
        <w:t xml:space="preserve"> </w:t>
      </w:r>
      <w:r>
        <w:t xml:space="preserve">subchapter V debt limit excludes </w:t>
      </w:r>
      <w:r w:rsidRPr="00893382">
        <w:t>debts owed to affiliates or insiders</w:t>
      </w:r>
      <w:r>
        <w:t>.</w:t>
      </w:r>
      <w:r>
        <w:rPr>
          <w:rStyle w:val="FootnoteReference"/>
        </w:rPr>
        <w:footnoteReference w:id="15"/>
      </w:r>
      <w:r>
        <w:t xml:space="preserve">  Tha</w:t>
      </w:r>
      <w:r w:rsidR="0042007B">
        <w:t xml:space="preserve">t renders subchapter V solutions uniquely </w:t>
      </w:r>
      <w:r w:rsidR="00B53F6E">
        <w:t xml:space="preserve">suitable for portfolio companies of private investment funds and </w:t>
      </w:r>
      <w:r w:rsidR="00145CDD">
        <w:t xml:space="preserve">parent-financed </w:t>
      </w:r>
      <w:r w:rsidR="008B758E">
        <w:t xml:space="preserve">operating </w:t>
      </w:r>
      <w:r w:rsidR="00145CDD">
        <w:t xml:space="preserve">affiliates in </w:t>
      </w:r>
      <w:r w:rsidR="004B1646">
        <w:t xml:space="preserve">corporate </w:t>
      </w:r>
      <w:r w:rsidR="00145CDD">
        <w:t>groups</w:t>
      </w:r>
      <w:r w:rsidR="007923F3">
        <w:t xml:space="preserve"> where most funded debt comes from insiders</w:t>
      </w:r>
      <w:r w:rsidR="00145CDD">
        <w:t xml:space="preserve">. </w:t>
      </w:r>
      <w:r w:rsidR="00B53F6E">
        <w:t xml:space="preserve">  </w:t>
      </w:r>
    </w:p>
    <w:p w14:paraId="4AA4F7D7" w14:textId="77777777" w:rsidR="00B53F6E" w:rsidRDefault="00B53F6E" w:rsidP="009965F3">
      <w:pPr>
        <w:pStyle w:val="Normal0"/>
        <w:jc w:val="both"/>
      </w:pPr>
    </w:p>
    <w:p w14:paraId="1C0A8724" w14:textId="5481C1EA" w:rsidR="004814BD" w:rsidRDefault="003459CB" w:rsidP="009965F3">
      <w:pPr>
        <w:pStyle w:val="Normal0"/>
        <w:jc w:val="both"/>
      </w:pPr>
      <w:r>
        <w:tab/>
      </w:r>
      <w:r w:rsidR="00821E3A">
        <w:t xml:space="preserve">Because contingent </w:t>
      </w:r>
      <w:r w:rsidR="00CF6BB9">
        <w:t xml:space="preserve">and unliquidated </w:t>
      </w:r>
      <w:r w:rsidR="008B758E">
        <w:t xml:space="preserve">liabilities </w:t>
      </w:r>
      <w:r w:rsidR="00355C92">
        <w:t>are</w:t>
      </w:r>
      <w:r w:rsidR="008E62BB">
        <w:t xml:space="preserve"> excluded, </w:t>
      </w:r>
      <w:r w:rsidR="00602333">
        <w:t>otherwise</w:t>
      </w:r>
      <w:r w:rsidR="008E62BB">
        <w:t xml:space="preserve"> </w:t>
      </w:r>
      <w:r w:rsidR="00602333">
        <w:t>financially stable</w:t>
      </w:r>
      <w:r w:rsidR="008E62BB">
        <w:t xml:space="preserve"> </w:t>
      </w:r>
      <w:r w:rsidR="00FE1E02">
        <w:t xml:space="preserve">operating </w:t>
      </w:r>
      <w:r w:rsidR="008E62BB">
        <w:t xml:space="preserve">companies </w:t>
      </w:r>
      <w:r w:rsidR="00602333">
        <w:t xml:space="preserve">with little debt but </w:t>
      </w:r>
      <w:r w:rsidR="008E62BB">
        <w:t xml:space="preserve">threatened with </w:t>
      </w:r>
      <w:r w:rsidR="00602333">
        <w:t xml:space="preserve">an existential risk of a lawsuit may also benefit </w:t>
      </w:r>
      <w:r w:rsidR="00FE1E02">
        <w:t xml:space="preserve">from subchapter V proceedings, which are cheaper </w:t>
      </w:r>
      <w:r w:rsidR="00CB4B92">
        <w:t>yet provide the protections of chapter 11.</w:t>
      </w:r>
    </w:p>
    <w:p w14:paraId="26BD4786" w14:textId="77777777" w:rsidR="004814BD" w:rsidRDefault="004814BD" w:rsidP="009965F3">
      <w:pPr>
        <w:pStyle w:val="Normal0"/>
        <w:jc w:val="both"/>
      </w:pPr>
    </w:p>
    <w:p w14:paraId="79E9E097" w14:textId="5D60C7B4" w:rsidR="00CD1A0E" w:rsidRDefault="00C94103" w:rsidP="00CD1A0E">
      <w:pPr>
        <w:pStyle w:val="Normal0"/>
        <w:jc w:val="both"/>
      </w:pPr>
      <w:r>
        <w:tab/>
      </w:r>
      <w:r w:rsidR="007923F3">
        <w:t>S</w:t>
      </w:r>
      <w:r w:rsidR="00BE2CFF">
        <w:t xml:space="preserve">ubchapter V provides to qualifying debtors valuable solutions allowing </w:t>
      </w:r>
      <w:r w:rsidR="005633C5">
        <w:t xml:space="preserve">them to sidestep the </w:t>
      </w:r>
      <w:r w:rsidR="003902D1">
        <w:t xml:space="preserve">paradox of </w:t>
      </w:r>
      <w:r w:rsidR="00B24479">
        <w:t>§</w:t>
      </w:r>
      <w:r w:rsidR="003902D1">
        <w:t xml:space="preserve"> </w:t>
      </w:r>
      <w:r w:rsidR="005633C5" w:rsidRPr="005633C5">
        <w:t>1129(a)(10)</w:t>
      </w:r>
      <w:r w:rsidR="003902D1">
        <w:t xml:space="preserve"> with respect to impaired insiders</w:t>
      </w:r>
      <w:r w:rsidR="00DD7348">
        <w:t>’</w:t>
      </w:r>
      <w:r w:rsidR="003902D1">
        <w:t xml:space="preserve"> votes.</w:t>
      </w:r>
      <w:r w:rsidR="007923F3">
        <w:t xml:space="preserve">  </w:t>
      </w:r>
      <w:r w:rsidR="003A11AE">
        <w:t>Significantly, t</w:t>
      </w:r>
      <w:r w:rsidR="003C0634">
        <w:t xml:space="preserve">he cramdown provisions of </w:t>
      </w:r>
      <w:r w:rsidR="00B24479">
        <w:t>§</w:t>
      </w:r>
      <w:r w:rsidR="006E6298">
        <w:t xml:space="preserve"> 1129(b) </w:t>
      </w:r>
      <w:r w:rsidR="003C0634">
        <w:t>are</w:t>
      </w:r>
      <w:r w:rsidR="006E6298">
        <w:t xml:space="preserve"> not applicable in subchapter V cases. </w:t>
      </w:r>
      <w:r w:rsidR="003C0634">
        <w:t xml:space="preserve"> </w:t>
      </w:r>
      <w:r w:rsidR="006E6298">
        <w:t xml:space="preserve">Instead, </w:t>
      </w:r>
      <w:r w:rsidR="00B24479">
        <w:t>§</w:t>
      </w:r>
      <w:r w:rsidR="006E6298">
        <w:t xml:space="preserve"> 1191(b) </w:t>
      </w:r>
      <w:r w:rsidR="00A222AF">
        <w:t xml:space="preserve">provides </w:t>
      </w:r>
      <w:r w:rsidR="006E6298">
        <w:t>requirements for cramdown confirmation that are more favorable to subchapter V debtors</w:t>
      </w:r>
      <w:r w:rsidR="00A222AF">
        <w:t xml:space="preserve">.  That includes </w:t>
      </w:r>
      <w:r w:rsidR="00FE4795">
        <w:t xml:space="preserve">the </w:t>
      </w:r>
      <w:r w:rsidR="006E6298">
        <w:t>elimination of the requirement that at least one impaired class of creditors</w:t>
      </w:r>
      <w:r w:rsidR="00FD6258">
        <w:t>—excluding insiders—</w:t>
      </w:r>
      <w:r w:rsidR="006E6298">
        <w:t>accept the plan</w:t>
      </w:r>
      <w:r w:rsidR="00FE4795">
        <w:t xml:space="preserve">.  </w:t>
      </w:r>
      <w:r w:rsidR="00952932">
        <w:t>Notably</w:t>
      </w:r>
      <w:r w:rsidR="00966FC3">
        <w:t xml:space="preserve">, </w:t>
      </w:r>
      <w:r w:rsidR="006E6298">
        <w:t xml:space="preserve">the absolute priority rule </w:t>
      </w:r>
      <w:r w:rsidR="00EB4DA3">
        <w:t xml:space="preserve">under </w:t>
      </w:r>
      <w:r w:rsidR="00B24479">
        <w:t>§</w:t>
      </w:r>
      <w:r w:rsidR="00EB4DA3">
        <w:t xml:space="preserve"> 1129(b)(2)(B) </w:t>
      </w:r>
      <w:r w:rsidR="006E6298">
        <w:t>with respect to classes of unsecured creditors and interests that have not accepted the plan</w:t>
      </w:r>
      <w:r w:rsidR="00FF1D19">
        <w:t xml:space="preserve"> </w:t>
      </w:r>
      <w:r w:rsidR="00FF1D19">
        <w:lastRenderedPageBreak/>
        <w:t xml:space="preserve">is not applicable under </w:t>
      </w:r>
      <w:r w:rsidR="00B24479">
        <w:t>§</w:t>
      </w:r>
      <w:r w:rsidR="00FF1D19">
        <w:t xml:space="preserve"> 1191(b)</w:t>
      </w:r>
      <w:r w:rsidR="00EB4DA3">
        <w:t>,</w:t>
      </w:r>
      <w:r w:rsidR="00B177FB">
        <w:rPr>
          <w:rStyle w:val="FootnoteReference"/>
        </w:rPr>
        <w:footnoteReference w:id="16"/>
      </w:r>
      <w:r w:rsidR="00EB4DA3">
        <w:t xml:space="preserve"> </w:t>
      </w:r>
      <w:r w:rsidR="002E0566">
        <w:t>“</w:t>
      </w:r>
      <w:r w:rsidR="00CD1A0E">
        <w:t>allow</w:t>
      </w:r>
      <w:r w:rsidR="002E0566">
        <w:t>[</w:t>
      </w:r>
      <w:proofErr w:type="spellStart"/>
      <w:r w:rsidR="00EB4DA3">
        <w:t>ing</w:t>
      </w:r>
      <w:proofErr w:type="spellEnd"/>
      <w:r w:rsidR="002E0566">
        <w:t>]</w:t>
      </w:r>
      <w:r w:rsidR="00CD1A0E">
        <w:t xml:space="preserve"> existing owners to retain their full ownership without giving any new value</w:t>
      </w:r>
      <w:r w:rsidR="00FA3A7A">
        <w:t>, b</w:t>
      </w:r>
      <w:r w:rsidR="00CD1A0E">
        <w:t>ut only if the plan provides for the debtor to distribute all of its projected disposable income over at least three years from the date the first payment is due under the plan (or property having a value of at least that amount).</w:t>
      </w:r>
      <w:r w:rsidR="00FA3A7A">
        <w:t>”</w:t>
      </w:r>
      <w:r w:rsidR="00EE104D">
        <w:rPr>
          <w:rStyle w:val="FootnoteReference"/>
        </w:rPr>
        <w:footnoteReference w:id="17"/>
      </w:r>
      <w:r w:rsidR="00FA3A7A">
        <w:t xml:space="preserve"> </w:t>
      </w:r>
    </w:p>
    <w:p w14:paraId="1C5A0242" w14:textId="77777777" w:rsidR="00CD1A0E" w:rsidRDefault="00CD1A0E" w:rsidP="00CD1A0E">
      <w:pPr>
        <w:pStyle w:val="Normal0"/>
        <w:jc w:val="both"/>
      </w:pPr>
    </w:p>
    <w:p w14:paraId="6E4EB939" w14:textId="7607355F" w:rsidR="00E12C85" w:rsidRDefault="00B177FB" w:rsidP="00E12C85">
      <w:pPr>
        <w:pStyle w:val="Normal0"/>
        <w:jc w:val="both"/>
      </w:pPr>
      <w:r>
        <w:tab/>
      </w:r>
      <w:r w:rsidR="00F857AC">
        <w:t xml:space="preserve">To be clear, </w:t>
      </w:r>
      <w:r w:rsidR="00B24479">
        <w:t>§</w:t>
      </w:r>
      <w:r w:rsidR="00F857AC">
        <w:t xml:space="preserve"> 1191(b) cramdown does not come without other </w:t>
      </w:r>
      <w:r w:rsidR="00A34B09">
        <w:t>limitations and costs</w:t>
      </w:r>
      <w:r w:rsidR="00227038">
        <w:t xml:space="preserve"> that need to be carefully considered. </w:t>
      </w:r>
      <w:r w:rsidR="00A34B09">
        <w:t xml:space="preserve"> </w:t>
      </w:r>
      <w:r w:rsidR="001B7CD5">
        <w:t>A</w:t>
      </w:r>
      <w:r w:rsidR="00C714F7">
        <w:t xml:space="preserve"> </w:t>
      </w:r>
      <w:r w:rsidR="001B7CD5">
        <w:t>subcha</w:t>
      </w:r>
      <w:r w:rsidR="00321FFC">
        <w:t>p</w:t>
      </w:r>
      <w:r w:rsidR="001B7CD5">
        <w:t xml:space="preserve">ter V debtor may confirm a </w:t>
      </w:r>
      <w:r w:rsidR="00321FFC">
        <w:t>plan</w:t>
      </w:r>
      <w:r w:rsidR="001B7CD5">
        <w:t xml:space="preserve"> </w:t>
      </w:r>
      <w:r w:rsidR="006D1849">
        <w:t>despite</w:t>
      </w:r>
      <w:r w:rsidR="00B97720">
        <w:t xml:space="preserve"> not meeting the requirements of</w:t>
      </w:r>
      <w:r w:rsidR="00321FFC">
        <w:t xml:space="preserve"> </w:t>
      </w:r>
      <w:r w:rsidR="00B24479">
        <w:t>§</w:t>
      </w:r>
      <w:r w:rsidR="00906E26">
        <w:t xml:space="preserve"> </w:t>
      </w:r>
      <w:r w:rsidR="00906E26" w:rsidRPr="00906E26">
        <w:t>1129(a)</w:t>
      </w:r>
      <w:r w:rsidR="00906E26">
        <w:t xml:space="preserve"> </w:t>
      </w:r>
      <w:r w:rsidR="001B7CD5">
        <w:t xml:space="preserve">paragraphs </w:t>
      </w:r>
      <w:r w:rsidR="005D6328" w:rsidRPr="005D6328">
        <w:t>(8)</w:t>
      </w:r>
      <w:r w:rsidR="00906E26">
        <w:t xml:space="preserve"> </w:t>
      </w:r>
      <w:r w:rsidR="00906E26" w:rsidRPr="00906E26">
        <w:t xml:space="preserve">(providing that all classes vote to accept the plan or not be impaired by the plan) </w:t>
      </w:r>
      <w:r w:rsidR="00C714F7">
        <w:t xml:space="preserve">and </w:t>
      </w:r>
      <w:r w:rsidR="00906E26" w:rsidRPr="00906E26">
        <w:t>(10) (requiring at least one impaired class to accept the plan)</w:t>
      </w:r>
      <w:r w:rsidR="00C714F7">
        <w:t>.  Instead</w:t>
      </w:r>
      <w:r w:rsidR="00906E26" w:rsidRPr="00906E26">
        <w:t xml:space="preserve">, </w:t>
      </w:r>
      <w:r w:rsidR="00E12C85">
        <w:t xml:space="preserve">a </w:t>
      </w:r>
      <w:r w:rsidR="00B97720">
        <w:t xml:space="preserve">confirmable subchapter V </w:t>
      </w:r>
      <w:r w:rsidR="00574DEB">
        <w:t>“</w:t>
      </w:r>
      <w:r w:rsidR="00E12C85">
        <w:t>plan does not discriminate unfairly, and is fair and equitable, with respect to each class of claims or interests that is impaired under, and has not accepted, the plan.</w:t>
      </w:r>
      <w:r w:rsidR="00574DEB">
        <w:t>”</w:t>
      </w:r>
      <w:r w:rsidR="00574DEB">
        <w:rPr>
          <w:rStyle w:val="FootnoteReference"/>
        </w:rPr>
        <w:footnoteReference w:id="18"/>
      </w:r>
      <w:r w:rsidR="00B86035">
        <w:t xml:space="preserve">  </w:t>
      </w:r>
    </w:p>
    <w:p w14:paraId="3E016D90" w14:textId="77777777" w:rsidR="002742A5" w:rsidRDefault="002742A5" w:rsidP="00E12C85">
      <w:pPr>
        <w:pStyle w:val="Normal0"/>
        <w:jc w:val="both"/>
      </w:pPr>
    </w:p>
    <w:p w14:paraId="28179A45" w14:textId="6FCFCCA0" w:rsidR="00B40936" w:rsidRDefault="002742A5" w:rsidP="00B40936">
      <w:pPr>
        <w:pStyle w:val="Normal0"/>
        <w:jc w:val="both"/>
      </w:pPr>
      <w:r>
        <w:tab/>
      </w:r>
      <w:r w:rsidR="00B86035">
        <w:t xml:space="preserve">The </w:t>
      </w:r>
      <w:r>
        <w:t>standard of “</w:t>
      </w:r>
      <w:r w:rsidRPr="002742A5">
        <w:t>fair and equitable with respect to each class of claims or interests</w:t>
      </w:r>
      <w:r>
        <w:t xml:space="preserve">” is defined in </w:t>
      </w:r>
      <w:r w:rsidR="00C714F7">
        <w:t>subchapter V</w:t>
      </w:r>
      <w:r w:rsidR="00A41471">
        <w:t xml:space="preserve">: </w:t>
      </w:r>
      <w:r>
        <w:t xml:space="preserve"> </w:t>
      </w:r>
      <w:r w:rsidR="00F820C3">
        <w:t>the plan need</w:t>
      </w:r>
      <w:r w:rsidR="003B6B3F">
        <w:t>s</w:t>
      </w:r>
      <w:r w:rsidR="00F820C3">
        <w:t xml:space="preserve"> to provide for a period of payments after </w:t>
      </w:r>
      <w:r w:rsidR="003B6B3F">
        <w:t xml:space="preserve">the effective date, ranging from </w:t>
      </w:r>
      <w:r w:rsidR="00F01E1F">
        <w:t xml:space="preserve">a minimum of </w:t>
      </w:r>
      <w:r w:rsidR="003B6B3F">
        <w:t xml:space="preserve">three </w:t>
      </w:r>
      <w:r w:rsidR="00F01E1F">
        <w:t xml:space="preserve">years </w:t>
      </w:r>
      <w:r w:rsidR="003B6B3F">
        <w:t xml:space="preserve">to </w:t>
      </w:r>
      <w:r w:rsidR="00F01E1F">
        <w:t xml:space="preserve">a maximum of </w:t>
      </w:r>
      <w:r w:rsidR="003B6B3F">
        <w:t>five years</w:t>
      </w:r>
      <w:r w:rsidR="00514DA8">
        <w:t>, when all of the projected disposable income of the debtor is</w:t>
      </w:r>
      <w:r w:rsidR="006B6B4F">
        <w:t xml:space="preserve"> </w:t>
      </w:r>
      <w:r w:rsidR="004B18C5">
        <w:t>dedicated to payments</w:t>
      </w:r>
      <w:r w:rsidR="00F01E1F">
        <w:t>,</w:t>
      </w:r>
      <w:r w:rsidR="004B18C5">
        <w:t xml:space="preserve"> before the debtor can obtain a discharge</w:t>
      </w:r>
      <w:r w:rsidR="003B6B3F">
        <w:t>.</w:t>
      </w:r>
      <w:r w:rsidR="003B6B3F">
        <w:rPr>
          <w:rStyle w:val="FootnoteReference"/>
        </w:rPr>
        <w:footnoteReference w:id="19"/>
      </w:r>
      <w:r w:rsidR="003B6B3F">
        <w:t xml:space="preserve">  </w:t>
      </w:r>
      <w:r w:rsidR="00A41471">
        <w:t xml:space="preserve">This standard </w:t>
      </w:r>
      <w:r w:rsidR="00C714F7">
        <w:t>mimics</w:t>
      </w:r>
      <w:r w:rsidR="006430D4">
        <w:t xml:space="preserve"> </w:t>
      </w:r>
      <w:r w:rsidR="009710DD">
        <w:t xml:space="preserve">chapter 13 </w:t>
      </w:r>
      <w:r w:rsidR="006430D4">
        <w:t>proceedings</w:t>
      </w:r>
      <w:r w:rsidR="009710DD">
        <w:t xml:space="preserve"> available to individuals</w:t>
      </w:r>
      <w:r w:rsidR="006430D4">
        <w:t>.</w:t>
      </w:r>
      <w:r w:rsidR="002539D5">
        <w:t xml:space="preserve">  S</w:t>
      </w:r>
      <w:r w:rsidR="00BB78EB">
        <w:t xml:space="preserve">ubchapter V debtor may prepay </w:t>
      </w:r>
      <w:r w:rsidR="0009545A">
        <w:t xml:space="preserve">or pay in a lump sum </w:t>
      </w:r>
      <w:r w:rsidR="00BB78EB">
        <w:t xml:space="preserve">the </w:t>
      </w:r>
      <w:r w:rsidR="0009545A">
        <w:t>value of projected disposable income</w:t>
      </w:r>
      <w:r w:rsidR="003D4E38">
        <w:t>,</w:t>
      </w:r>
      <w:r w:rsidR="00324BEA">
        <w:rPr>
          <w:rStyle w:val="FootnoteReference"/>
        </w:rPr>
        <w:footnoteReference w:id="20"/>
      </w:r>
      <w:r w:rsidR="0009545A">
        <w:t xml:space="preserve"> </w:t>
      </w:r>
      <w:r w:rsidR="001B32BB">
        <w:t>but</w:t>
      </w:r>
      <w:r w:rsidR="003D4E38">
        <w:t xml:space="preserve"> </w:t>
      </w:r>
      <w:r w:rsidR="001B32BB">
        <w:t xml:space="preserve">is not required to make </w:t>
      </w:r>
      <w:r w:rsidR="002918A5">
        <w:t>payments before confirmation.</w:t>
      </w:r>
      <w:r w:rsidR="002971C9">
        <w:t xml:space="preserve"> </w:t>
      </w:r>
      <w:r w:rsidR="00C714F7">
        <w:t>Thus, particularly for portfolio companies and bankrupt affiliates, subchapter V allows for retention of equity</w:t>
      </w:r>
      <w:r w:rsidR="00410A8B">
        <w:t xml:space="preserve"> and voting by insiders</w:t>
      </w:r>
      <w:r w:rsidR="00C714F7">
        <w:t>.</w:t>
      </w:r>
      <w:r w:rsidR="00930C0C">
        <w:rPr>
          <w:rStyle w:val="FootnoteReference"/>
        </w:rPr>
        <w:footnoteReference w:id="21"/>
      </w:r>
      <w:r w:rsidR="007725BA">
        <w:t xml:space="preserve"> </w:t>
      </w:r>
      <w:r w:rsidR="00930C0C">
        <w:t xml:space="preserve"> </w:t>
      </w:r>
    </w:p>
    <w:p w14:paraId="7E940493" w14:textId="77777777" w:rsidR="00410A8B" w:rsidRDefault="00410A8B" w:rsidP="00B40936">
      <w:pPr>
        <w:pStyle w:val="Normal0"/>
        <w:jc w:val="both"/>
      </w:pPr>
    </w:p>
    <w:p w14:paraId="6512FFBC" w14:textId="509FB932" w:rsidR="00D54219" w:rsidRDefault="001D0E62" w:rsidP="00D54219">
      <w:pPr>
        <w:pStyle w:val="Normal0"/>
        <w:jc w:val="both"/>
      </w:pPr>
      <w:r>
        <w:tab/>
      </w:r>
      <w:r w:rsidR="00D54219">
        <w:t xml:space="preserve">In </w:t>
      </w:r>
      <w:r w:rsidR="00D54219" w:rsidRPr="001C691C">
        <w:rPr>
          <w:i/>
          <w:iCs/>
        </w:rPr>
        <w:t>In re Pearl Resources</w:t>
      </w:r>
      <w:r w:rsidR="00D54219">
        <w:t xml:space="preserve">, the bankruptcy court confirmed a nonconsensual subchapter V plan, where </w:t>
      </w:r>
      <w:r w:rsidR="00596E49">
        <w:t xml:space="preserve">out of a total of fourteen classes, eleven were impaired, and </w:t>
      </w:r>
      <w:r w:rsidR="00E57E07">
        <w:t xml:space="preserve">where </w:t>
      </w:r>
      <w:r w:rsidR="00D54219">
        <w:t>three classes of claims and interests held by insiders voted to accept the plan</w:t>
      </w:r>
      <w:r w:rsidR="00E57E07">
        <w:t xml:space="preserve"> (classes 2, 13 and 14)</w:t>
      </w:r>
      <w:r w:rsidR="00D54219">
        <w:t xml:space="preserve">, </w:t>
      </w:r>
      <w:r w:rsidR="00D54219" w:rsidRPr="00FE4B4A">
        <w:t xml:space="preserve">four </w:t>
      </w:r>
      <w:r w:rsidR="00D54219">
        <w:t>c</w:t>
      </w:r>
      <w:r w:rsidR="00D54219" w:rsidRPr="00FE4B4A">
        <w:t xml:space="preserve">lasses of non-insider claims (three of which </w:t>
      </w:r>
      <w:r w:rsidR="00D54219">
        <w:t>were</w:t>
      </w:r>
      <w:r w:rsidR="00D54219" w:rsidRPr="00FE4B4A">
        <w:t xml:space="preserve"> impaired) voted to accept the Plan</w:t>
      </w:r>
      <w:r w:rsidR="00E57E07">
        <w:t xml:space="preserve"> </w:t>
      </w:r>
      <w:r w:rsidR="003403D8">
        <w:t>(classes 3, 6, 8 and 9)</w:t>
      </w:r>
      <w:r w:rsidR="00D54219">
        <w:t xml:space="preserve">, </w:t>
      </w:r>
      <w:r w:rsidR="00D54219" w:rsidRPr="00FE4B4A">
        <w:t xml:space="preserve">three impaired </w:t>
      </w:r>
      <w:r w:rsidR="00D54219">
        <w:t>c</w:t>
      </w:r>
      <w:r w:rsidR="00D54219" w:rsidRPr="00FE4B4A">
        <w:t xml:space="preserve">lasses of claims held by non-insiders voted </w:t>
      </w:r>
      <w:r w:rsidR="00D54219">
        <w:t>against</w:t>
      </w:r>
      <w:r w:rsidR="00D54219" w:rsidRPr="00FE4B4A">
        <w:t xml:space="preserve"> the Plan</w:t>
      </w:r>
      <w:r w:rsidR="003403D8">
        <w:t xml:space="preserve"> (classes 4, 5, 7)</w:t>
      </w:r>
      <w:r w:rsidR="00D54219">
        <w:t xml:space="preserve">, one class </w:t>
      </w:r>
      <w:r w:rsidR="003403D8">
        <w:t xml:space="preserve">(class 10) </w:t>
      </w:r>
      <w:r w:rsidR="00D54219">
        <w:t>did not submit a ballot</w:t>
      </w:r>
      <w:r w:rsidR="003403D8">
        <w:t xml:space="preserve">, and </w:t>
      </w:r>
      <w:r w:rsidR="001B396A">
        <w:t xml:space="preserve">three classes had no claims </w:t>
      </w:r>
      <w:r w:rsidR="006F2473">
        <w:t>associated</w:t>
      </w:r>
      <w:r w:rsidR="001E38D5">
        <w:t xml:space="preserve"> with them </w:t>
      </w:r>
      <w:r w:rsidR="001B396A">
        <w:t>and therefore did not submit a ballot either (classes 1, 11 and 12)</w:t>
      </w:r>
      <w:r w:rsidR="00D54219" w:rsidRPr="00FE4B4A">
        <w:t>.</w:t>
      </w:r>
      <w:r w:rsidR="00D54219">
        <w:rPr>
          <w:rStyle w:val="FootnoteReference"/>
        </w:rPr>
        <w:footnoteReference w:id="22"/>
      </w:r>
      <w:r w:rsidR="00D54219">
        <w:t xml:space="preserve">  The court found that it was required to confirm the plan when all confirmation standards were met except those set out in paragraphs (8), (10), and (15) of </w:t>
      </w:r>
      <w:r w:rsidR="00B24479">
        <w:t>§</w:t>
      </w:r>
      <w:r w:rsidR="00D54219">
        <w:t xml:space="preserve"> </w:t>
      </w:r>
      <w:r w:rsidR="00D54219" w:rsidRPr="00751461">
        <w:t>1129</w:t>
      </w:r>
      <w:r w:rsidR="00D54219">
        <w:t xml:space="preserve">(a), and under </w:t>
      </w:r>
      <w:r w:rsidR="00B24479">
        <w:t>§</w:t>
      </w:r>
      <w:r w:rsidR="00D54219">
        <w:t xml:space="preserve"> 1191(b) cramdown rules the plan did not discriminate unfairly and was fair and equitable with respect to each impaired class that has not accepted it.</w:t>
      </w:r>
      <w:r w:rsidR="00D54219">
        <w:rPr>
          <w:rStyle w:val="FootnoteReference"/>
        </w:rPr>
        <w:footnoteReference w:id="23"/>
      </w:r>
      <w:r w:rsidR="00D54219">
        <w:t xml:space="preserve">  </w:t>
      </w:r>
    </w:p>
    <w:p w14:paraId="24E9C0D1" w14:textId="77777777" w:rsidR="00D54219" w:rsidRDefault="00D54219" w:rsidP="00D54219">
      <w:pPr>
        <w:pStyle w:val="Normal0"/>
        <w:jc w:val="both"/>
      </w:pPr>
    </w:p>
    <w:p w14:paraId="715500F7" w14:textId="58B088B2" w:rsidR="00D54219" w:rsidRDefault="00D54219" w:rsidP="00D54219">
      <w:pPr>
        <w:pStyle w:val="Normal0"/>
        <w:jc w:val="both"/>
      </w:pPr>
      <w:r>
        <w:lastRenderedPageBreak/>
        <w:tab/>
        <w:t xml:space="preserve">Furthermore, in confirming the nonconsensual plan, </w:t>
      </w:r>
      <w:r w:rsidRPr="001C691C">
        <w:rPr>
          <w:i/>
          <w:iCs/>
        </w:rPr>
        <w:t>Pearl Resources</w:t>
      </w:r>
      <w:r>
        <w:rPr>
          <w:i/>
          <w:iCs/>
        </w:rPr>
        <w:t xml:space="preserve"> </w:t>
      </w:r>
      <w:r w:rsidRPr="00D130B9">
        <w:t>stripped prepetition statutory liens</w:t>
      </w:r>
      <w:r>
        <w:t xml:space="preserve"> on all assets valued at $35 million held by secured creditors whose total claims, if undisputed, totaled $1.2 million, leaving as collateral one piece of property valued at $7.4 million based on a finding that, although the plan reduced the over-secured creditors</w:t>
      </w:r>
      <w:r w:rsidR="00DD7348">
        <w:t>’</w:t>
      </w:r>
      <w:r>
        <w:t xml:space="preserve"> “29 to 1 value-to-debt equity cushion” to “6 to 1,” the remaining collateral and the plan “provide[d] virtual certainty that Allowed Claims [would] be paid in full.”</w:t>
      </w:r>
      <w:r>
        <w:rPr>
          <w:rStyle w:val="FootnoteReference"/>
        </w:rPr>
        <w:footnoteReference w:id="24"/>
      </w:r>
      <w:r>
        <w:t xml:space="preserve"> </w:t>
      </w:r>
    </w:p>
    <w:p w14:paraId="1D7FCF79" w14:textId="77777777" w:rsidR="002971C9" w:rsidRDefault="002971C9" w:rsidP="002971C9">
      <w:pPr>
        <w:pStyle w:val="Normal0"/>
        <w:jc w:val="both"/>
      </w:pPr>
    </w:p>
    <w:p w14:paraId="1C893421" w14:textId="386F7AAA" w:rsidR="0071641A" w:rsidRDefault="00284582" w:rsidP="00E519C9">
      <w:pPr>
        <w:pStyle w:val="Normal0"/>
        <w:jc w:val="both"/>
      </w:pPr>
      <w:r>
        <w:tab/>
      </w:r>
      <w:r w:rsidR="00A8653B">
        <w:t xml:space="preserve">Because under </w:t>
      </w:r>
      <w:r w:rsidR="00852D81">
        <w:t>subchapter</w:t>
      </w:r>
      <w:r w:rsidR="00A8653B">
        <w:t xml:space="preserve"> V a plan can be confirmed in the absence of a consenting </w:t>
      </w:r>
      <w:r w:rsidR="00852D81">
        <w:t>impaired</w:t>
      </w:r>
      <w:r w:rsidR="00A8653B">
        <w:t xml:space="preserve"> class, </w:t>
      </w:r>
      <w:r w:rsidR="00852D81">
        <w:t xml:space="preserve">this type of proceedings can </w:t>
      </w:r>
      <w:r w:rsidR="00A604E9">
        <w:t xml:space="preserve">provide a solution to the </w:t>
      </w:r>
      <w:r w:rsidR="00B24479">
        <w:t>§</w:t>
      </w:r>
      <w:r w:rsidR="00A604E9" w:rsidRPr="00A604E9">
        <w:t xml:space="preserve"> 1129(a)(10) </w:t>
      </w:r>
      <w:r w:rsidR="00A604E9">
        <w:t>p</w:t>
      </w:r>
      <w:r w:rsidR="00A604E9" w:rsidRPr="00A604E9">
        <w:t>roblem</w:t>
      </w:r>
      <w:r w:rsidR="00A604E9">
        <w:t xml:space="preserve">.  Furthermore, </w:t>
      </w:r>
      <w:r w:rsidR="00C62D08">
        <w:t xml:space="preserve">absence of absolute priority rule and other </w:t>
      </w:r>
      <w:r w:rsidR="0018430A">
        <w:t>streamlined features</w:t>
      </w:r>
      <w:r w:rsidR="00C62D08">
        <w:t xml:space="preserve"> of subchapter V turn it into a </w:t>
      </w:r>
      <w:r w:rsidR="00C03382">
        <w:t xml:space="preserve">useful tool in the hands of a bankruptcy professional focusing on creative solutions </w:t>
      </w:r>
      <w:r w:rsidR="0018430A">
        <w:t xml:space="preserve">for </w:t>
      </w:r>
      <w:r w:rsidR="00C03382">
        <w:t>complex bankruptcy cases.</w:t>
      </w:r>
    </w:p>
    <w:p w14:paraId="7ADFF647" w14:textId="7EA905F8" w:rsidR="00B120AC" w:rsidRDefault="00B120AC" w:rsidP="00B120AC">
      <w:pPr>
        <w:pStyle w:val="Normal0"/>
        <w:jc w:val="both"/>
      </w:pPr>
    </w:p>
    <w:p w14:paraId="0AE070DF" w14:textId="6804AB3A" w:rsidR="003404E7" w:rsidRDefault="00DB1BEC" w:rsidP="00EF4A86">
      <w:pPr>
        <w:pStyle w:val="Normal0"/>
        <w:jc w:val="both"/>
      </w:pPr>
      <w:r>
        <w:tab/>
      </w:r>
    </w:p>
    <w:p w14:paraId="2A5B154D" w14:textId="77777777" w:rsidR="00EF4A86" w:rsidRDefault="00EF4A86" w:rsidP="00EF4A86">
      <w:pPr>
        <w:pStyle w:val="Normal0"/>
        <w:jc w:val="both"/>
      </w:pPr>
    </w:p>
    <w:p w14:paraId="7E6D6168" w14:textId="6FCF0F84" w:rsidR="006E286A" w:rsidRDefault="006E286A" w:rsidP="00EF4A86">
      <w:pPr>
        <w:pStyle w:val="Normal0"/>
        <w:jc w:val="both"/>
      </w:pPr>
    </w:p>
    <w:sectPr w:rsidR="006E286A" w:rsidSect="00F903B4">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CB2E" w14:textId="77777777" w:rsidR="00B73435" w:rsidRDefault="00B73435">
      <w:r>
        <w:separator/>
      </w:r>
    </w:p>
  </w:endnote>
  <w:endnote w:type="continuationSeparator" w:id="0">
    <w:p w14:paraId="138520AC" w14:textId="77777777" w:rsidR="00B73435" w:rsidRDefault="00B7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7C05" w14:textId="2CD6A4FA" w:rsidR="00F903B4" w:rsidRDefault="00027C83" w:rsidP="00027C83">
    <w:pPr>
      <w:pStyle w:val="Footer"/>
    </w:pPr>
    <w:r w:rsidRPr="00027C83">
      <w:rPr>
        <w:noProof/>
        <w:spacing w:val="-2"/>
        <w:sz w:val="15"/>
      </w:rPr>
      <w:t>00811-99585/14868525.3</w:t>
    </w:r>
    <w:r w:rsidR="00E83BC7" w:rsidRPr="00E83BC7">
      <w:t xml:space="preserve"> </w:t>
    </w:r>
    <w:sdt>
      <w:sdtPr>
        <w:id w:val="-1777168934"/>
        <w:docPartObj>
          <w:docPartGallery w:val="Page Numbers (Bottom of Page)"/>
          <w:docPartUnique/>
        </w:docPartObj>
      </w:sdtPr>
      <w:sdtEndPr>
        <w:rPr>
          <w:noProof/>
        </w:rPr>
      </w:sdtEndPr>
      <w:sdtContent>
        <w:r w:rsidR="00A31C60">
          <w:tab/>
        </w:r>
        <w:r w:rsidR="00F903B4">
          <w:fldChar w:fldCharType="begin"/>
        </w:r>
        <w:r w:rsidR="00F903B4">
          <w:instrText xml:space="preserve"> PAGE   \* MERGEFORMAT </w:instrText>
        </w:r>
        <w:r w:rsidR="00F903B4">
          <w:fldChar w:fldCharType="separate"/>
        </w:r>
        <w:r w:rsidR="00F903B4">
          <w:rPr>
            <w:noProof/>
          </w:rPr>
          <w:t>2</w:t>
        </w:r>
        <w:r w:rsidR="00F903B4">
          <w:rPr>
            <w:noProof/>
          </w:rPr>
          <w:fldChar w:fldCharType="end"/>
        </w:r>
      </w:sdtContent>
    </w:sdt>
  </w:p>
  <w:p w14:paraId="05619673" w14:textId="77777777" w:rsidR="005E6B22" w:rsidRDefault="005E6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C9B2" w14:textId="284A59F0" w:rsidR="00E83BC7" w:rsidRDefault="00027C83" w:rsidP="00027C83">
    <w:pPr>
      <w:pStyle w:val="Footer"/>
    </w:pPr>
    <w:r w:rsidRPr="00027C83">
      <w:rPr>
        <w:noProof/>
        <w:spacing w:val="-2"/>
        <w:sz w:val="15"/>
      </w:rPr>
      <w:t>00811-99585/14868525.3</w:t>
    </w:r>
    <w:r w:rsidR="00E83BC7" w:rsidRPr="00E83B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1FCA" w14:textId="77777777" w:rsidR="00B73435" w:rsidRDefault="00B73435">
      <w:r>
        <w:separator/>
      </w:r>
    </w:p>
  </w:footnote>
  <w:footnote w:type="continuationSeparator" w:id="0">
    <w:p w14:paraId="1AB44935" w14:textId="77777777" w:rsidR="00B73435" w:rsidRDefault="00B73435">
      <w:r>
        <w:continuationSeparator/>
      </w:r>
    </w:p>
  </w:footnote>
  <w:footnote w:id="1">
    <w:p w14:paraId="54D15C0D" w14:textId="68B03569" w:rsidR="00976C1A" w:rsidRDefault="00976C1A" w:rsidP="00976C1A">
      <w:pPr>
        <w:pStyle w:val="FootnoteText"/>
        <w:jc w:val="both"/>
      </w:pPr>
      <w:r>
        <w:rPr>
          <w:rStyle w:val="FootnoteReference"/>
        </w:rPr>
        <w:footnoteRef/>
      </w:r>
      <w:r>
        <w:t xml:space="preserve"> </w:t>
      </w:r>
      <w:r w:rsidR="00B24479">
        <w:t xml:space="preserve">  </w:t>
      </w:r>
      <w:r>
        <w:t>11 U.S.C. § 1129(a)(10)</w:t>
      </w:r>
      <w:r w:rsidR="00AC0F90">
        <w:t>.</w:t>
      </w:r>
    </w:p>
  </w:footnote>
  <w:footnote w:id="2">
    <w:p w14:paraId="1A6BE8A7" w14:textId="1DF32261" w:rsidR="00F60E60" w:rsidRDefault="00F60E60" w:rsidP="00EE104D">
      <w:pPr>
        <w:pStyle w:val="FootnoteText"/>
        <w:jc w:val="both"/>
      </w:pPr>
      <w:r>
        <w:rPr>
          <w:rStyle w:val="FootnoteReference"/>
        </w:rPr>
        <w:footnoteRef/>
      </w:r>
      <w:r>
        <w:t xml:space="preserve"> </w:t>
      </w:r>
      <w:r w:rsidR="00B24479">
        <w:t xml:space="preserve">  </w:t>
      </w:r>
      <w:r w:rsidR="00976C1A" w:rsidRPr="00976C1A">
        <w:rPr>
          <w:i/>
          <w:iCs/>
        </w:rPr>
        <w:t>Id</w:t>
      </w:r>
      <w:r w:rsidR="00976C1A">
        <w:t>.</w:t>
      </w:r>
      <w:r w:rsidR="00AC0F90">
        <w:t xml:space="preserve"> (“</w:t>
      </w:r>
      <w:r w:rsidR="00AC0F90" w:rsidRPr="00BA0141">
        <w:t xml:space="preserve">If a class of claims is impaired under the plan, at least one class of claims that is impaired under the plan has accepted the plan, </w:t>
      </w:r>
      <w:r w:rsidR="00AC0F90" w:rsidRPr="00AC0F90">
        <w:rPr>
          <w:i/>
          <w:iCs/>
        </w:rPr>
        <w:t>determined without including any acceptance of the plan by any insider</w:t>
      </w:r>
      <w:r w:rsidR="00AC0F90" w:rsidRPr="00976C1A">
        <w:t>.</w:t>
      </w:r>
      <w:r w:rsidR="00AC0F90">
        <w:t xml:space="preserve">” (emphasis added)). </w:t>
      </w:r>
    </w:p>
  </w:footnote>
  <w:footnote w:id="3">
    <w:p w14:paraId="1577B3AE" w14:textId="44A894BB" w:rsidR="00F60E60" w:rsidRPr="00C2727E" w:rsidRDefault="00F60E60" w:rsidP="00EE104D">
      <w:pPr>
        <w:pStyle w:val="FootnoteText"/>
        <w:jc w:val="both"/>
      </w:pPr>
      <w:r>
        <w:rPr>
          <w:rStyle w:val="FootnoteReference"/>
        </w:rPr>
        <w:footnoteRef/>
      </w:r>
      <w:r>
        <w:t xml:space="preserve"> </w:t>
      </w:r>
      <w:r w:rsidR="00B24479">
        <w:t xml:space="preserve">  </w:t>
      </w:r>
      <w:r w:rsidR="001A4A3D" w:rsidRPr="00723004">
        <w:rPr>
          <w:i/>
          <w:iCs/>
        </w:rPr>
        <w:t>In re Ingleside Assocs</w:t>
      </w:r>
      <w:r w:rsidR="001A4A3D">
        <w:rPr>
          <w:i/>
          <w:iCs/>
        </w:rPr>
        <w:t>.</w:t>
      </w:r>
      <w:r w:rsidR="001A4A3D" w:rsidRPr="00723004">
        <w:t>, 136 B.R. 955, 96</w:t>
      </w:r>
      <w:r w:rsidR="001A4A3D">
        <w:t>0</w:t>
      </w:r>
      <w:r w:rsidR="001A4A3D" w:rsidRPr="00723004">
        <w:t xml:space="preserve"> (</w:t>
      </w:r>
      <w:proofErr w:type="spellStart"/>
      <w:r w:rsidR="001A4A3D" w:rsidRPr="00723004">
        <w:t>Bankr</w:t>
      </w:r>
      <w:proofErr w:type="spellEnd"/>
      <w:r w:rsidR="001A4A3D" w:rsidRPr="00723004">
        <w:t>. E.D. Pa. 1992)</w:t>
      </w:r>
      <w:r>
        <w:t xml:space="preserve">; </w:t>
      </w:r>
      <w:r>
        <w:rPr>
          <w:i/>
          <w:iCs/>
        </w:rPr>
        <w:t xml:space="preserve">see also </w:t>
      </w:r>
      <w:r>
        <w:t>11 U.S.C. § 1126(f) (“</w:t>
      </w:r>
      <w:r w:rsidRPr="00C2727E">
        <w:t xml:space="preserve">Notwithstanding any other provision of this section, </w:t>
      </w:r>
      <w:r w:rsidRPr="00C2727E">
        <w:rPr>
          <w:i/>
          <w:iCs/>
        </w:rPr>
        <w:t>a class that is not impaired under a plan, and each holder of a claim or interest of such class, are conclusively presumed to have accepted the plan</w:t>
      </w:r>
      <w:r w:rsidRPr="00C2727E">
        <w:t xml:space="preserve">, and </w:t>
      </w:r>
      <w:r w:rsidRPr="008A31E9">
        <w:t>solicitation of acceptances with respect to such class from the holders of claims or interests of such class is not required</w:t>
      </w:r>
      <w:r w:rsidR="003D751B">
        <w:rPr>
          <w:i/>
          <w:iCs/>
        </w:rPr>
        <w:t>.</w:t>
      </w:r>
      <w:r>
        <w:t>” (emphasis added))</w:t>
      </w:r>
      <w:r w:rsidR="006B04EF">
        <w:t xml:space="preserve">; </w:t>
      </w:r>
      <w:r w:rsidR="000F48DE">
        <w:t xml:space="preserve"> </w:t>
      </w:r>
      <w:r w:rsidR="00697C81" w:rsidRPr="00697C81">
        <w:rPr>
          <w:i/>
          <w:iCs/>
        </w:rPr>
        <w:t>see further</w:t>
      </w:r>
      <w:r w:rsidR="00697C81">
        <w:t xml:space="preserve"> </w:t>
      </w:r>
      <w:r w:rsidR="00167011" w:rsidRPr="00167011">
        <w:rPr>
          <w:i/>
          <w:iCs/>
        </w:rPr>
        <w:t>In re Union Meeting Partners</w:t>
      </w:r>
      <w:r w:rsidR="00167011" w:rsidRPr="00167011">
        <w:t>, 165 B.R. 553, 569 (</w:t>
      </w:r>
      <w:proofErr w:type="spellStart"/>
      <w:r w:rsidR="00167011" w:rsidRPr="00167011">
        <w:t>Bankr</w:t>
      </w:r>
      <w:proofErr w:type="spellEnd"/>
      <w:r w:rsidR="00167011" w:rsidRPr="00167011">
        <w:t xml:space="preserve">. E.D. Pa. 1994), </w:t>
      </w:r>
      <w:r w:rsidR="00167011" w:rsidRPr="00167011">
        <w:rPr>
          <w:i/>
          <w:iCs/>
        </w:rPr>
        <w:t>subsequently aff</w:t>
      </w:r>
      <w:r w:rsidR="00DD7348">
        <w:rPr>
          <w:i/>
          <w:iCs/>
        </w:rPr>
        <w:t>’</w:t>
      </w:r>
      <w:r w:rsidR="00167011" w:rsidRPr="00167011">
        <w:rPr>
          <w:i/>
          <w:iCs/>
        </w:rPr>
        <w:t>d</w:t>
      </w:r>
      <w:r w:rsidR="00167011" w:rsidRPr="00167011">
        <w:t xml:space="preserve">, 52 </w:t>
      </w:r>
      <w:proofErr w:type="spellStart"/>
      <w:r w:rsidR="00167011" w:rsidRPr="00167011">
        <w:t>F.3d</w:t>
      </w:r>
      <w:proofErr w:type="spellEnd"/>
      <w:r w:rsidR="00167011" w:rsidRPr="00167011">
        <w:t xml:space="preserve"> 317 (3d Cir. 1995) (</w:t>
      </w:r>
      <w:r w:rsidR="0061661D">
        <w:t xml:space="preserve">denying confirmation of the plan on multiple grounds, including </w:t>
      </w:r>
      <w:r w:rsidR="00167011" w:rsidRPr="00167011">
        <w:t>that “it is questionable whether any of the impaired classes which have voted in favor of Debtor</w:t>
      </w:r>
      <w:r w:rsidR="00DD7348">
        <w:t>’</w:t>
      </w:r>
      <w:r w:rsidR="00167011" w:rsidRPr="00167011">
        <w:t xml:space="preserve">s Plan are eligible to serve as the impaired accepting class required by § 1129(a)(10)” </w:t>
      </w:r>
      <w:r w:rsidR="00ED35B2">
        <w:t>for purposes of a cram down</w:t>
      </w:r>
      <w:r w:rsidR="00167011" w:rsidRPr="00167011">
        <w:t>)</w:t>
      </w:r>
      <w:r w:rsidR="00697C81">
        <w:t xml:space="preserve">; </w:t>
      </w:r>
      <w:r w:rsidR="00697C81" w:rsidRPr="00697C81">
        <w:rPr>
          <w:i/>
          <w:iCs/>
        </w:rPr>
        <w:t xml:space="preserve">In re Three Flint Hill Ltd. </w:t>
      </w:r>
      <w:proofErr w:type="spellStart"/>
      <w:r w:rsidR="00697C81" w:rsidRPr="00697C81">
        <w:rPr>
          <w:i/>
          <w:iCs/>
        </w:rPr>
        <w:t>P</w:t>
      </w:r>
      <w:r w:rsidR="00DD7348">
        <w:rPr>
          <w:i/>
          <w:iCs/>
        </w:rPr>
        <w:t>’</w:t>
      </w:r>
      <w:r w:rsidR="00697C81" w:rsidRPr="00697C81">
        <w:rPr>
          <w:i/>
          <w:iCs/>
        </w:rPr>
        <w:t>ship</w:t>
      </w:r>
      <w:proofErr w:type="spellEnd"/>
      <w:r w:rsidR="00697C81" w:rsidRPr="00697C81">
        <w:t>, 213 B.R. 292 (D. Md. 1997) (confirming the creditor</w:t>
      </w:r>
      <w:r w:rsidR="00DD7348">
        <w:t>’</w:t>
      </w:r>
      <w:r w:rsidR="00697C81" w:rsidRPr="00697C81">
        <w:t>s plan and holding that the debtor</w:t>
      </w:r>
      <w:r w:rsidR="00DD7348">
        <w:t>’</w:t>
      </w:r>
      <w:r w:rsidR="00697C81" w:rsidRPr="00697C81">
        <w:t>s plan was unconfirmable, because it had not been accepted by at least one impaired class).</w:t>
      </w:r>
    </w:p>
  </w:footnote>
  <w:footnote w:id="4">
    <w:p w14:paraId="2C34E2F8" w14:textId="0AA642E9" w:rsidR="00F60E60" w:rsidRPr="00807A3E" w:rsidRDefault="00F60E60" w:rsidP="00EE104D">
      <w:pPr>
        <w:pStyle w:val="FootnoteText"/>
        <w:jc w:val="both"/>
      </w:pPr>
      <w:r>
        <w:rPr>
          <w:rStyle w:val="FootnoteReference"/>
        </w:rPr>
        <w:footnoteRef/>
      </w:r>
      <w:r>
        <w:t xml:space="preserve"> </w:t>
      </w:r>
      <w:r w:rsidR="00B24479">
        <w:t xml:space="preserve">  </w:t>
      </w:r>
      <w:r>
        <w:rPr>
          <w:i/>
          <w:iCs/>
        </w:rPr>
        <w:t>Ingleside</w:t>
      </w:r>
      <w:r>
        <w:t>, 136 B.R. at 960</w:t>
      </w:r>
      <w:r w:rsidR="00FC3EF0">
        <w:t>–</w:t>
      </w:r>
      <w:r>
        <w:t xml:space="preserve">62.  </w:t>
      </w:r>
    </w:p>
  </w:footnote>
  <w:footnote w:id="5">
    <w:p w14:paraId="03F405E3" w14:textId="644CA37F" w:rsidR="00F60E60" w:rsidRPr="007053FC" w:rsidRDefault="00F60E60" w:rsidP="00EE104D">
      <w:pPr>
        <w:pStyle w:val="FootnoteText"/>
        <w:jc w:val="both"/>
      </w:pPr>
      <w:r>
        <w:rPr>
          <w:rStyle w:val="FootnoteReference"/>
        </w:rPr>
        <w:footnoteRef/>
      </w:r>
      <w:r>
        <w:rPr>
          <w:i/>
          <w:iCs/>
        </w:rPr>
        <w:t xml:space="preserve"> </w:t>
      </w:r>
      <w:r w:rsidR="00B24479">
        <w:rPr>
          <w:i/>
          <w:iCs/>
        </w:rPr>
        <w:t xml:space="preserve"> </w:t>
      </w:r>
      <w:r>
        <w:rPr>
          <w:i/>
          <w:iCs/>
        </w:rPr>
        <w:t>Id.</w:t>
      </w:r>
      <w:r>
        <w:t xml:space="preserve"> at 961</w:t>
      </w:r>
      <w:r w:rsidR="00FC3EF0">
        <w:t>–</w:t>
      </w:r>
      <w:r>
        <w:t xml:space="preserve">62.  </w:t>
      </w:r>
    </w:p>
  </w:footnote>
  <w:footnote w:id="6">
    <w:p w14:paraId="34B0DFDA" w14:textId="554A4B1B" w:rsidR="00E40C40" w:rsidRDefault="00E40C40">
      <w:pPr>
        <w:pStyle w:val="FootnoteText"/>
      </w:pPr>
      <w:r>
        <w:rPr>
          <w:rStyle w:val="FootnoteReference"/>
        </w:rPr>
        <w:footnoteRef/>
      </w:r>
      <w:r>
        <w:t xml:space="preserve">   </w:t>
      </w:r>
      <w:r>
        <w:rPr>
          <w:i/>
          <w:iCs/>
        </w:rPr>
        <w:t>Id.</w:t>
      </w:r>
      <w:r>
        <w:t xml:space="preserve"> at 962 </w:t>
      </w:r>
      <w:proofErr w:type="spellStart"/>
      <w:r>
        <w:t>n.4</w:t>
      </w:r>
      <w:proofErr w:type="spellEnd"/>
      <w:r>
        <w:t>.</w:t>
      </w:r>
    </w:p>
  </w:footnote>
  <w:footnote w:id="7">
    <w:p w14:paraId="23FD332E" w14:textId="317E03AD" w:rsidR="00364478" w:rsidRPr="00EA23CB" w:rsidRDefault="00364478" w:rsidP="00EE104D">
      <w:pPr>
        <w:pStyle w:val="FootnoteText"/>
        <w:jc w:val="both"/>
      </w:pPr>
      <w:r>
        <w:rPr>
          <w:rStyle w:val="FootnoteReference"/>
        </w:rPr>
        <w:footnoteRef/>
      </w:r>
      <w:r w:rsidR="00FA3F8A">
        <w:rPr>
          <w:i/>
          <w:iCs/>
        </w:rPr>
        <w:t xml:space="preserve">   </w:t>
      </w:r>
      <w:r w:rsidR="00224EA3">
        <w:rPr>
          <w:i/>
          <w:iCs/>
        </w:rPr>
        <w:t>Id.</w:t>
      </w:r>
      <w:r w:rsidR="00224EA3">
        <w:t xml:space="preserve"> at 962</w:t>
      </w:r>
      <w:r w:rsidR="005D3BFB">
        <w:t xml:space="preserve">. </w:t>
      </w:r>
    </w:p>
  </w:footnote>
  <w:footnote w:id="8">
    <w:p w14:paraId="57288F33" w14:textId="6025CA40" w:rsidR="00F95D45" w:rsidRDefault="00F95D45" w:rsidP="00EE104D">
      <w:pPr>
        <w:pStyle w:val="FootnoteText"/>
        <w:jc w:val="both"/>
      </w:pPr>
      <w:r>
        <w:rPr>
          <w:rStyle w:val="FootnoteReference"/>
        </w:rPr>
        <w:footnoteRef/>
      </w:r>
      <w:r>
        <w:t xml:space="preserve"> </w:t>
      </w:r>
      <w:r w:rsidR="00FA3F8A">
        <w:t xml:space="preserve">  </w:t>
      </w:r>
      <w:r>
        <w:rPr>
          <w:i/>
          <w:iCs/>
        </w:rPr>
        <w:t xml:space="preserve">Compare </w:t>
      </w:r>
      <w:r w:rsidRPr="00D03F9F">
        <w:rPr>
          <w:i/>
          <w:iCs/>
        </w:rPr>
        <w:t>In re Windsor on the River Assocs., Ltd.</w:t>
      </w:r>
      <w:r>
        <w:t xml:space="preserve">, 7 </w:t>
      </w:r>
      <w:proofErr w:type="spellStart"/>
      <w:r>
        <w:t>F.3d</w:t>
      </w:r>
      <w:proofErr w:type="spellEnd"/>
      <w:r>
        <w:t xml:space="preserve"> 127, 132 (8th Cir. 1993) (“[W]e hold that, for purposes of 11 U.S.C. § 1129(a)(10), a claim is not impaired if the alteration of rights in question arises solely from the debtor</w:t>
      </w:r>
      <w:r w:rsidR="00DD7348">
        <w:t>’</w:t>
      </w:r>
      <w:r>
        <w:t xml:space="preserve">s exercise of discretion.”), </w:t>
      </w:r>
      <w:r w:rsidRPr="00895F83">
        <w:rPr>
          <w:i/>
          <w:iCs/>
        </w:rPr>
        <w:t>with</w:t>
      </w:r>
      <w:r>
        <w:t xml:space="preserve"> </w:t>
      </w:r>
      <w:r w:rsidRPr="009D0490">
        <w:rPr>
          <w:i/>
          <w:iCs/>
        </w:rPr>
        <w:t>In re Vill. at Camp Bowie I, L.P.</w:t>
      </w:r>
      <w:r>
        <w:t xml:space="preserve">, 710 </w:t>
      </w:r>
      <w:proofErr w:type="spellStart"/>
      <w:r>
        <w:t>F.3d</w:t>
      </w:r>
      <w:proofErr w:type="spellEnd"/>
      <w:r>
        <w:t xml:space="preserve"> 239, 245 (5th Cir. 2013) (“[W]e expressly reject </w:t>
      </w:r>
      <w:r w:rsidRPr="00756869">
        <w:rPr>
          <w:i/>
          <w:iCs/>
        </w:rPr>
        <w:t>Windsor</w:t>
      </w:r>
      <w:r>
        <w:t xml:space="preserve"> and join the Ninth Circuit in holding that § 1129(a)(10) does not distinguish between discretionary and economically driven impairment.”)</w:t>
      </w:r>
      <w:r w:rsidR="00D8434D">
        <w:t>.</w:t>
      </w:r>
    </w:p>
  </w:footnote>
  <w:footnote w:id="9">
    <w:p w14:paraId="4A0A69B9" w14:textId="704D5DB6" w:rsidR="00F95D45" w:rsidRPr="00C75390" w:rsidRDefault="00F95D45" w:rsidP="00EE104D">
      <w:pPr>
        <w:pStyle w:val="FootnoteText"/>
        <w:jc w:val="both"/>
        <w:rPr>
          <w:i/>
          <w:iCs/>
        </w:rPr>
      </w:pPr>
      <w:r>
        <w:rPr>
          <w:rStyle w:val="FootnoteReference"/>
        </w:rPr>
        <w:footnoteRef/>
      </w:r>
      <w:r>
        <w:t xml:space="preserve">   </w:t>
      </w:r>
      <w:r w:rsidRPr="00D03F9F">
        <w:rPr>
          <w:i/>
          <w:iCs/>
        </w:rPr>
        <w:t>Windsor</w:t>
      </w:r>
      <w:r>
        <w:t xml:space="preserve">, 7 </w:t>
      </w:r>
      <w:proofErr w:type="spellStart"/>
      <w:r>
        <w:t>F.3d</w:t>
      </w:r>
      <w:proofErr w:type="spellEnd"/>
      <w:r>
        <w:t xml:space="preserve"> at 132.  </w:t>
      </w:r>
    </w:p>
  </w:footnote>
  <w:footnote w:id="10">
    <w:p w14:paraId="2916169F" w14:textId="6310FD09" w:rsidR="00517583" w:rsidRDefault="00517583">
      <w:pPr>
        <w:pStyle w:val="FootnoteText"/>
      </w:pPr>
      <w:r>
        <w:rPr>
          <w:rStyle w:val="FootnoteReference"/>
        </w:rPr>
        <w:footnoteRef/>
      </w:r>
      <w:r>
        <w:t xml:space="preserve">   </w:t>
      </w:r>
      <w:r w:rsidRPr="00C750CD">
        <w:rPr>
          <w:i/>
          <w:iCs/>
        </w:rPr>
        <w:t>In re Franco</w:t>
      </w:r>
      <w:r>
        <w:rPr>
          <w:i/>
          <w:iCs/>
        </w:rPr>
        <w:t>’</w:t>
      </w:r>
      <w:r w:rsidRPr="00C750CD">
        <w:rPr>
          <w:i/>
          <w:iCs/>
        </w:rPr>
        <w:t>s Paving LLC</w:t>
      </w:r>
      <w:r w:rsidRPr="00C750CD">
        <w:t>, 654 B.R. 107 (</w:t>
      </w:r>
      <w:proofErr w:type="spellStart"/>
      <w:r w:rsidRPr="00C750CD">
        <w:t>Bankr</w:t>
      </w:r>
      <w:proofErr w:type="spellEnd"/>
      <w:r w:rsidRPr="00C750CD">
        <w:t>. S.D. Tex. 2023)</w:t>
      </w:r>
      <w:r>
        <w:t xml:space="preserve">; </w:t>
      </w:r>
      <w:r w:rsidRPr="00E0498A">
        <w:rPr>
          <w:i/>
          <w:iCs/>
        </w:rPr>
        <w:t xml:space="preserve">In re </w:t>
      </w:r>
      <w:proofErr w:type="spellStart"/>
      <w:r w:rsidRPr="00E0498A">
        <w:rPr>
          <w:i/>
          <w:iCs/>
        </w:rPr>
        <w:t>Hot</w:t>
      </w:r>
      <w:r>
        <w:rPr>
          <w:i/>
          <w:iCs/>
        </w:rPr>
        <w:t>’</w:t>
      </w:r>
      <w:r w:rsidRPr="00E0498A">
        <w:rPr>
          <w:i/>
          <w:iCs/>
        </w:rPr>
        <w:t>z</w:t>
      </w:r>
      <w:proofErr w:type="spellEnd"/>
      <w:r w:rsidRPr="00E0498A">
        <w:rPr>
          <w:i/>
          <w:iCs/>
        </w:rPr>
        <w:t xml:space="preserve"> Power Wash, Inc</w:t>
      </w:r>
      <w:r>
        <w:t>., 655 B.R. 107 (</w:t>
      </w:r>
      <w:proofErr w:type="spellStart"/>
      <w:r>
        <w:t>Bankr</w:t>
      </w:r>
      <w:proofErr w:type="spellEnd"/>
      <w:r>
        <w:t xml:space="preserve">. S.D. Tex. 2023).  </w:t>
      </w:r>
    </w:p>
  </w:footnote>
  <w:footnote w:id="11">
    <w:p w14:paraId="69B78730" w14:textId="1DC82E18" w:rsidR="00517583" w:rsidRDefault="00517583" w:rsidP="00517583">
      <w:pPr>
        <w:pStyle w:val="FootnoteText"/>
        <w:jc w:val="both"/>
      </w:pPr>
      <w:r>
        <w:rPr>
          <w:rStyle w:val="FootnoteReference"/>
        </w:rPr>
        <w:footnoteRef/>
      </w:r>
      <w:r>
        <w:t xml:space="preserve">   </w:t>
      </w:r>
      <w:r w:rsidRPr="0040651E">
        <w:rPr>
          <w:i/>
          <w:iCs/>
        </w:rPr>
        <w:t>In re Ruti-Sweetwater, Inc</w:t>
      </w:r>
      <w:r>
        <w:t xml:space="preserve">., 836 </w:t>
      </w:r>
      <w:proofErr w:type="spellStart"/>
      <w:r>
        <w:t>F.2d</w:t>
      </w:r>
      <w:proofErr w:type="spellEnd"/>
      <w:r>
        <w:t xml:space="preserve"> 1263, </w:t>
      </w:r>
      <w:r w:rsidRPr="00465FD0">
        <w:t>1267–68</w:t>
      </w:r>
      <w:r>
        <w:t xml:space="preserve"> (10th Cir. 1988).  </w:t>
      </w:r>
      <w:r w:rsidR="00320374" w:rsidRPr="00320374">
        <w:t xml:space="preserve">This approach seems to </w:t>
      </w:r>
      <w:r w:rsidR="00320374">
        <w:t>adopt</w:t>
      </w:r>
      <w:r w:rsidR="00320374" w:rsidRPr="00320374">
        <w:t xml:space="preserve"> the</w:t>
      </w:r>
      <w:r w:rsidR="00320374">
        <w:rPr>
          <w:i/>
          <w:iCs/>
        </w:rPr>
        <w:t xml:space="preserve"> </w:t>
      </w:r>
      <w:r>
        <w:t xml:space="preserve">principle </w:t>
      </w:r>
      <w:r w:rsidRPr="005038D7">
        <w:rPr>
          <w:i/>
          <w:iCs/>
        </w:rPr>
        <w:t xml:space="preserve">qui tacet </w:t>
      </w:r>
      <w:proofErr w:type="spellStart"/>
      <w:r w:rsidRPr="005038D7">
        <w:rPr>
          <w:i/>
          <w:iCs/>
        </w:rPr>
        <w:t>c</w:t>
      </w:r>
      <w:r>
        <w:rPr>
          <w:i/>
          <w:iCs/>
        </w:rPr>
        <w:t>o</w:t>
      </w:r>
      <w:r w:rsidRPr="005038D7">
        <w:rPr>
          <w:i/>
          <w:iCs/>
        </w:rPr>
        <w:t>n</w:t>
      </w:r>
      <w:r>
        <w:rPr>
          <w:i/>
          <w:iCs/>
        </w:rPr>
        <w:t>s</w:t>
      </w:r>
      <w:r w:rsidRPr="005038D7">
        <w:rPr>
          <w:i/>
          <w:iCs/>
        </w:rPr>
        <w:t>entire</w:t>
      </w:r>
      <w:proofErr w:type="spellEnd"/>
      <w:r w:rsidRPr="005038D7">
        <w:rPr>
          <w:i/>
          <w:iCs/>
        </w:rPr>
        <w:t xml:space="preserve"> </w:t>
      </w:r>
      <w:proofErr w:type="spellStart"/>
      <w:r w:rsidRPr="005038D7">
        <w:rPr>
          <w:i/>
          <w:iCs/>
        </w:rPr>
        <w:t>videtur</w:t>
      </w:r>
      <w:proofErr w:type="spellEnd"/>
      <w:r>
        <w:t xml:space="preserve"> (“whoever remains silent is deemed to agree.”)</w:t>
      </w:r>
      <w:r w:rsidRPr="00465FD0">
        <w:t>.</w:t>
      </w:r>
    </w:p>
  </w:footnote>
  <w:footnote w:id="12">
    <w:p w14:paraId="2BC58D96" w14:textId="239D10CF" w:rsidR="00976C1A" w:rsidRDefault="00976C1A">
      <w:pPr>
        <w:pStyle w:val="FootnoteText"/>
      </w:pPr>
      <w:r>
        <w:rPr>
          <w:rStyle w:val="FootnoteReference"/>
        </w:rPr>
        <w:footnoteRef/>
      </w:r>
      <w:r>
        <w:t xml:space="preserve">   </w:t>
      </w:r>
      <w:r w:rsidRPr="00051D92">
        <w:rPr>
          <w:i/>
          <w:iCs/>
        </w:rPr>
        <w:t>See, e.g., In re M. Long Arabians</w:t>
      </w:r>
      <w:r w:rsidRPr="00051D92">
        <w:t>, 103 B.R. 211 (</w:t>
      </w:r>
      <w:proofErr w:type="spellStart"/>
      <w:r w:rsidRPr="00051D92">
        <w:t>B.A.P</w:t>
      </w:r>
      <w:proofErr w:type="spellEnd"/>
      <w:r w:rsidRPr="00051D92">
        <w:t xml:space="preserve">. 9th Cir. 1989); </w:t>
      </w:r>
      <w:r w:rsidRPr="00051D92">
        <w:rPr>
          <w:i/>
          <w:iCs/>
        </w:rPr>
        <w:t>In re Higgins Slacks Co</w:t>
      </w:r>
      <w:r w:rsidRPr="00051D92">
        <w:t>., 178 B.R. 853, 857 (</w:t>
      </w:r>
      <w:proofErr w:type="spellStart"/>
      <w:r w:rsidRPr="00051D92">
        <w:t>Bankr</w:t>
      </w:r>
      <w:proofErr w:type="spellEnd"/>
      <w:r w:rsidRPr="00051D92">
        <w:t xml:space="preserve">. N.D. Ala. 1995); </w:t>
      </w:r>
      <w:r w:rsidRPr="00051D92">
        <w:rPr>
          <w:i/>
          <w:iCs/>
        </w:rPr>
        <w:t xml:space="preserve">In re </w:t>
      </w:r>
      <w:proofErr w:type="spellStart"/>
      <w:r w:rsidRPr="00051D92">
        <w:rPr>
          <w:i/>
          <w:iCs/>
        </w:rPr>
        <w:t>Townco</w:t>
      </w:r>
      <w:proofErr w:type="spellEnd"/>
      <w:r w:rsidRPr="00051D92">
        <w:rPr>
          <w:i/>
          <w:iCs/>
        </w:rPr>
        <w:t xml:space="preserve"> Realty, Inc</w:t>
      </w:r>
      <w:r w:rsidRPr="00051D92">
        <w:t>., 81 B.R. 707, 708 (</w:t>
      </w:r>
      <w:proofErr w:type="spellStart"/>
      <w:r w:rsidRPr="00051D92">
        <w:t>Bankr</w:t>
      </w:r>
      <w:proofErr w:type="spellEnd"/>
      <w:r w:rsidRPr="00051D92">
        <w:t>. S.D. Fla. 1987).</w:t>
      </w:r>
      <w:r>
        <w:t xml:space="preserve">  </w:t>
      </w:r>
    </w:p>
  </w:footnote>
  <w:footnote w:id="13">
    <w:p w14:paraId="03A018C1" w14:textId="2C61B412" w:rsidR="00CF4610" w:rsidRDefault="00CF4610" w:rsidP="00EE104D">
      <w:pPr>
        <w:pStyle w:val="FootnoteText"/>
        <w:jc w:val="both"/>
      </w:pPr>
      <w:r>
        <w:rPr>
          <w:rStyle w:val="FootnoteReference"/>
        </w:rPr>
        <w:footnoteRef/>
      </w:r>
      <w:r>
        <w:t xml:space="preserve">   </w:t>
      </w:r>
      <w:r w:rsidRPr="00CF4610">
        <w:rPr>
          <w:i/>
          <w:iCs/>
        </w:rPr>
        <w:t>See</w:t>
      </w:r>
      <w:r>
        <w:t xml:space="preserve"> </w:t>
      </w:r>
      <w:r w:rsidRPr="009C4384">
        <w:t xml:space="preserve">The Small </w:t>
      </w:r>
      <w:r w:rsidRPr="006A34F0">
        <w:t>Business</w:t>
      </w:r>
      <w:r w:rsidRPr="009C4384">
        <w:t xml:space="preserve"> Reorganization Act of 2019 (</w:t>
      </w:r>
      <w:proofErr w:type="spellStart"/>
      <w:r w:rsidRPr="009C4384">
        <w:t>SBRA</w:t>
      </w:r>
      <w:proofErr w:type="spellEnd"/>
      <w:r w:rsidRPr="009C4384">
        <w:t>)</w:t>
      </w:r>
      <w:r>
        <w:t xml:space="preserve">, </w:t>
      </w:r>
      <w:r w:rsidRPr="00CF4610">
        <w:t>Pub. L. No. 116-54 (Aug. 13, 2019), effective Feb. 19, 2020.</w:t>
      </w:r>
    </w:p>
  </w:footnote>
  <w:footnote w:id="14">
    <w:p w14:paraId="56F470DC" w14:textId="15232AE7" w:rsidR="00876760" w:rsidRDefault="00876760" w:rsidP="00EE104D">
      <w:pPr>
        <w:pStyle w:val="FootnoteText"/>
        <w:jc w:val="both"/>
      </w:pPr>
      <w:r>
        <w:rPr>
          <w:rStyle w:val="FootnoteReference"/>
        </w:rPr>
        <w:footnoteRef/>
      </w:r>
      <w:r>
        <w:t xml:space="preserve">   </w:t>
      </w:r>
      <w:r w:rsidR="00CD4526" w:rsidRPr="00CD4526">
        <w:rPr>
          <w:i/>
          <w:iCs/>
        </w:rPr>
        <w:t>See</w:t>
      </w:r>
      <w:r w:rsidR="00CD4526">
        <w:t xml:space="preserve"> </w:t>
      </w:r>
      <w:proofErr w:type="spellStart"/>
      <w:r w:rsidR="009C4384" w:rsidRPr="009C4384">
        <w:t>SBRA</w:t>
      </w:r>
      <w:proofErr w:type="spellEnd"/>
      <w:r w:rsidR="009C4384">
        <w:t xml:space="preserve"> </w:t>
      </w:r>
      <w:r w:rsidR="006E5ADE" w:rsidRPr="006E5ADE">
        <w:t>§ 2(a)</w:t>
      </w:r>
      <w:r w:rsidR="00CD4526">
        <w:t xml:space="preserve">, 1182(1).  </w:t>
      </w:r>
      <w:r w:rsidR="006E5ADE">
        <w:t xml:space="preserve">The statutory debt limit </w:t>
      </w:r>
      <w:r w:rsidR="00A74F94">
        <w:t xml:space="preserve">under subchapter V was initially set at </w:t>
      </w:r>
      <w:r w:rsidR="00A74F94" w:rsidRPr="00A74F94">
        <w:t>$2,725,625</w:t>
      </w:r>
      <w:r w:rsidR="00A74F94">
        <w:t xml:space="preserve">. </w:t>
      </w:r>
      <w:r w:rsidR="009C4384">
        <w:t xml:space="preserve"> </w:t>
      </w:r>
      <w:r w:rsidR="00240474">
        <w:t xml:space="preserve">On April 1, 2022 </w:t>
      </w:r>
      <w:proofErr w:type="spellStart"/>
      <w:r w:rsidR="00240474">
        <w:t>SBRA</w:t>
      </w:r>
      <w:proofErr w:type="spellEnd"/>
      <w:r w:rsidR="00240474">
        <w:t xml:space="preserve"> </w:t>
      </w:r>
      <w:r w:rsidR="00240474" w:rsidRPr="006E5ADE">
        <w:t>§</w:t>
      </w:r>
      <w:r w:rsidR="00240474">
        <w:t xml:space="preserve"> 104 adjusted </w:t>
      </w:r>
      <w:r w:rsidR="00037221">
        <w:t>t</w:t>
      </w:r>
      <w:r w:rsidR="00037221" w:rsidRPr="00037221">
        <w:t xml:space="preserve">he debt limit </w:t>
      </w:r>
      <w:r w:rsidR="00037221">
        <w:t>to</w:t>
      </w:r>
      <w:r w:rsidR="00037221" w:rsidRPr="00037221">
        <w:t xml:space="preserve"> $3,024,725</w:t>
      </w:r>
      <w:r w:rsidR="00DF3829">
        <w:t xml:space="preserve">.  Later legislation </w:t>
      </w:r>
      <w:r w:rsidR="009E2838">
        <w:t xml:space="preserve">contained in a </w:t>
      </w:r>
      <w:r w:rsidR="001E2551">
        <w:t>variety of statutes</w:t>
      </w:r>
      <w:r w:rsidR="009E2838">
        <w:t xml:space="preserve"> </w:t>
      </w:r>
      <w:r w:rsidR="00DF3829">
        <w:t xml:space="preserve">temporarily increased the debt limit </w:t>
      </w:r>
      <w:r w:rsidR="009E2838">
        <w:t xml:space="preserve">to </w:t>
      </w:r>
      <w:r w:rsidR="00DF3829">
        <w:t>$7,500,000 until June 20, 2024</w:t>
      </w:r>
      <w:r w:rsidR="009E2838">
        <w:t xml:space="preserve">, and unless </w:t>
      </w:r>
      <w:r w:rsidR="00DF3829">
        <w:t xml:space="preserve">that legislation is made permanent or extended, the debt limit </w:t>
      </w:r>
      <w:r w:rsidR="001E2551">
        <w:t xml:space="preserve">will </w:t>
      </w:r>
      <w:r w:rsidR="00DF3829">
        <w:t xml:space="preserve">return to </w:t>
      </w:r>
      <w:r w:rsidR="001E2551">
        <w:t xml:space="preserve">its previous level of </w:t>
      </w:r>
      <w:r w:rsidR="00DF3829">
        <w:t>$3,024,725 on June 21, 2024.</w:t>
      </w:r>
      <w:r w:rsidR="00CF6DE9">
        <w:t xml:space="preserve">  </w:t>
      </w:r>
      <w:r w:rsidR="001E2551" w:rsidRPr="00CF6DE9">
        <w:rPr>
          <w:i/>
          <w:iCs/>
        </w:rPr>
        <w:t>See</w:t>
      </w:r>
      <w:r w:rsidR="001E2551">
        <w:t xml:space="preserve"> </w:t>
      </w:r>
      <w:r w:rsidR="00CF6DE9">
        <w:t>Coronavirus Aid, Relief, and Economic Security Act (the CARES ACT), Pub. L. No. 116-136, § 1113(a) (Mar. 27, 2020); COVID-19 Bankruptcy Relief Extension Act of 2021, Pub. L. No. 117-5, § 2(a)(1) (Mar. 27, 2021); Bankruptcy Threshold Adjustment and Technical Corrections Act (</w:t>
      </w:r>
      <w:proofErr w:type="spellStart"/>
      <w:r w:rsidR="00CF6DE9">
        <w:t>BTATCA</w:t>
      </w:r>
      <w:proofErr w:type="spellEnd"/>
      <w:r w:rsidR="00CF6DE9">
        <w:t>), Pub. L. No. 117-151, §§ 2(a), (d)</w:t>
      </w:r>
      <w:r w:rsidR="009B6B8A">
        <w:t>, (i)(1)(B) (June 21, 2022).</w:t>
      </w:r>
      <w:r w:rsidR="00482CB7">
        <w:t xml:space="preserve">  Congress is currently considering extending the enhanced debt limit. </w:t>
      </w:r>
    </w:p>
  </w:footnote>
  <w:footnote w:id="15">
    <w:p w14:paraId="09957822" w14:textId="0F1F53B3" w:rsidR="001E0CB1" w:rsidRDefault="001E0CB1" w:rsidP="00EE104D">
      <w:pPr>
        <w:pStyle w:val="FootnoteText"/>
        <w:jc w:val="both"/>
      </w:pPr>
      <w:r>
        <w:rPr>
          <w:rStyle w:val="FootnoteReference"/>
        </w:rPr>
        <w:footnoteRef/>
      </w:r>
      <w:r>
        <w:t xml:space="preserve">   11 U.S.C. § 1182(a)(1)(A).</w:t>
      </w:r>
    </w:p>
  </w:footnote>
  <w:footnote w:id="16">
    <w:p w14:paraId="6CE165A2" w14:textId="375E9179" w:rsidR="00B177FB" w:rsidRDefault="00B177FB" w:rsidP="00EE104D">
      <w:pPr>
        <w:pStyle w:val="FootnoteText"/>
        <w:jc w:val="both"/>
      </w:pPr>
      <w:r>
        <w:rPr>
          <w:rStyle w:val="FootnoteReference"/>
        </w:rPr>
        <w:footnoteRef/>
      </w:r>
      <w:r>
        <w:t xml:space="preserve">   </w:t>
      </w:r>
      <w:r w:rsidRPr="00B177FB">
        <w:rPr>
          <w:i/>
          <w:iCs/>
        </w:rPr>
        <w:t>See generally</w:t>
      </w:r>
      <w:r>
        <w:t xml:space="preserve"> 8 Collier on Bankruptcy ¶ 1180.01.</w:t>
      </w:r>
    </w:p>
  </w:footnote>
  <w:footnote w:id="17">
    <w:p w14:paraId="6A7DA5B4" w14:textId="74FB479B" w:rsidR="00EE104D" w:rsidRDefault="00EE104D" w:rsidP="00EE104D">
      <w:pPr>
        <w:pStyle w:val="FootnoteText"/>
        <w:jc w:val="both"/>
      </w:pPr>
      <w:r>
        <w:rPr>
          <w:rStyle w:val="FootnoteReference"/>
        </w:rPr>
        <w:footnoteRef/>
      </w:r>
      <w:r>
        <w:t xml:space="preserve">   </w:t>
      </w:r>
      <w:r w:rsidRPr="00EE104D">
        <w:rPr>
          <w:i/>
          <w:iCs/>
        </w:rPr>
        <w:t>In re Pearl Res. LLC</w:t>
      </w:r>
      <w:r>
        <w:t>, 622 B.R. 236, 265–66 (</w:t>
      </w:r>
      <w:proofErr w:type="spellStart"/>
      <w:r>
        <w:t>Bankr</w:t>
      </w:r>
      <w:proofErr w:type="spellEnd"/>
      <w:r>
        <w:t xml:space="preserve">. S.D. Tex. 2020) (citing </w:t>
      </w:r>
      <w:r w:rsidRPr="00EE104D">
        <w:t>11 U.S.C. § 1181(a)</w:t>
      </w:r>
      <w:r>
        <w:t>)</w:t>
      </w:r>
      <w:r w:rsidRPr="00EE104D">
        <w:t>.</w:t>
      </w:r>
    </w:p>
  </w:footnote>
  <w:footnote w:id="18">
    <w:p w14:paraId="7E37A530" w14:textId="042A5672" w:rsidR="00574DEB" w:rsidRDefault="00574DEB" w:rsidP="00EE104D">
      <w:pPr>
        <w:pStyle w:val="FootnoteText"/>
        <w:jc w:val="both"/>
      </w:pPr>
      <w:r>
        <w:rPr>
          <w:rStyle w:val="FootnoteReference"/>
        </w:rPr>
        <w:footnoteRef/>
      </w:r>
      <w:r>
        <w:t xml:space="preserve">   11 U.S.C. § 1191(b).</w:t>
      </w:r>
    </w:p>
  </w:footnote>
  <w:footnote w:id="19">
    <w:p w14:paraId="50D8E539" w14:textId="02F855EA" w:rsidR="003B6B3F" w:rsidRDefault="003B6B3F" w:rsidP="0009468A">
      <w:pPr>
        <w:pStyle w:val="FootnoteText"/>
        <w:jc w:val="both"/>
      </w:pPr>
      <w:r>
        <w:rPr>
          <w:rStyle w:val="FootnoteReference"/>
        </w:rPr>
        <w:footnoteRef/>
      </w:r>
      <w:r>
        <w:t xml:space="preserve">   </w:t>
      </w:r>
      <w:r w:rsidR="00211E4E">
        <w:t>11 U.S.C. § 1191(c).</w:t>
      </w:r>
      <w:r w:rsidR="00B66633">
        <w:t xml:space="preserve">  </w:t>
      </w:r>
    </w:p>
  </w:footnote>
  <w:footnote w:id="20">
    <w:p w14:paraId="30692466" w14:textId="75474AFF" w:rsidR="00324BEA" w:rsidRDefault="00324BEA" w:rsidP="00EE104D">
      <w:pPr>
        <w:pStyle w:val="FootnoteText"/>
        <w:jc w:val="both"/>
      </w:pPr>
      <w:r>
        <w:rPr>
          <w:rStyle w:val="FootnoteReference"/>
        </w:rPr>
        <w:footnoteRef/>
      </w:r>
      <w:r>
        <w:t xml:space="preserve">   11 U.S.C. § 1191(c)(2)(B).</w:t>
      </w:r>
    </w:p>
  </w:footnote>
  <w:footnote w:id="21">
    <w:p w14:paraId="5BE8D32B" w14:textId="4F039FDE" w:rsidR="00930C0C" w:rsidRDefault="00930C0C">
      <w:pPr>
        <w:pStyle w:val="FootnoteText"/>
      </w:pPr>
      <w:r>
        <w:rPr>
          <w:rStyle w:val="FootnoteReference"/>
        </w:rPr>
        <w:footnoteRef/>
      </w:r>
      <w:r>
        <w:t xml:space="preserve">   </w:t>
      </w:r>
      <w:r w:rsidRPr="00930C0C">
        <w:rPr>
          <w:i/>
          <w:iCs/>
        </w:rPr>
        <w:t>In re Pearl Res. LLC</w:t>
      </w:r>
      <w:r>
        <w:t>, 622 B.R. 236, 267 (</w:t>
      </w:r>
      <w:proofErr w:type="spellStart"/>
      <w:r>
        <w:t>Bankr</w:t>
      </w:r>
      <w:proofErr w:type="spellEnd"/>
      <w:r>
        <w:t>. S.D. Tex. 2020) (citing 11 U.S.C. § 1191(c)(2) and (3)).</w:t>
      </w:r>
    </w:p>
  </w:footnote>
  <w:footnote w:id="22">
    <w:p w14:paraId="5230E5CE" w14:textId="77777777" w:rsidR="00D54219" w:rsidRDefault="00D54219" w:rsidP="00D54219">
      <w:pPr>
        <w:pStyle w:val="FootnoteText"/>
      </w:pPr>
      <w:r>
        <w:rPr>
          <w:rStyle w:val="FootnoteReference"/>
        </w:rPr>
        <w:footnoteRef/>
      </w:r>
      <w:r>
        <w:t xml:space="preserve">   </w:t>
      </w:r>
      <w:r w:rsidRPr="00EF4A86">
        <w:rPr>
          <w:i/>
          <w:iCs/>
        </w:rPr>
        <w:t>In re Pearl Res. LLC</w:t>
      </w:r>
      <w:r>
        <w:t>, 622 B.R. 236, 250–51 (</w:t>
      </w:r>
      <w:proofErr w:type="spellStart"/>
      <w:r>
        <w:t>Bankr</w:t>
      </w:r>
      <w:proofErr w:type="spellEnd"/>
      <w:r>
        <w:t>. S.D. Tex. 2020).</w:t>
      </w:r>
    </w:p>
  </w:footnote>
  <w:footnote w:id="23">
    <w:p w14:paraId="38ECE15C" w14:textId="77777777" w:rsidR="00D54219" w:rsidRDefault="00D54219" w:rsidP="00D54219">
      <w:pPr>
        <w:pStyle w:val="FootnoteText"/>
      </w:pPr>
      <w:r>
        <w:rPr>
          <w:rStyle w:val="FootnoteReference"/>
        </w:rPr>
        <w:footnoteRef/>
      </w:r>
      <w:r>
        <w:t xml:space="preserve">   </w:t>
      </w:r>
      <w:r w:rsidRPr="00073B6D">
        <w:rPr>
          <w:i/>
          <w:iCs/>
        </w:rPr>
        <w:t>Id</w:t>
      </w:r>
      <w:r>
        <w:t xml:space="preserve">. at </w:t>
      </w:r>
      <w:r w:rsidRPr="00C94A8D">
        <w:t>274</w:t>
      </w:r>
      <w:r>
        <w:t>.</w:t>
      </w:r>
    </w:p>
  </w:footnote>
  <w:footnote w:id="24">
    <w:p w14:paraId="728E51DF" w14:textId="77777777" w:rsidR="00D54219" w:rsidRDefault="00D54219" w:rsidP="00D54219">
      <w:pPr>
        <w:pStyle w:val="FootnoteText"/>
      </w:pPr>
      <w:r>
        <w:rPr>
          <w:rStyle w:val="FootnoteReference"/>
        </w:rPr>
        <w:footnoteRef/>
      </w:r>
      <w:r>
        <w:t xml:space="preserve">   </w:t>
      </w:r>
      <w:r w:rsidRPr="00923070">
        <w:rPr>
          <w:i/>
          <w:iCs/>
        </w:rPr>
        <w:t>Id</w:t>
      </w:r>
      <w:r>
        <w:t>. at 249, 270–72.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5358458">
    <w:abstractNumId w:val="5"/>
  </w:num>
  <w:num w:numId="2" w16cid:durableId="406002357">
    <w:abstractNumId w:val="4"/>
  </w:num>
  <w:num w:numId="3" w16cid:durableId="554699686">
    <w:abstractNumId w:val="4"/>
  </w:num>
  <w:num w:numId="4" w16cid:durableId="594676801">
    <w:abstractNumId w:val="3"/>
  </w:num>
  <w:num w:numId="5" w16cid:durableId="900871837">
    <w:abstractNumId w:val="3"/>
  </w:num>
  <w:num w:numId="6" w16cid:durableId="186260483">
    <w:abstractNumId w:val="2"/>
  </w:num>
  <w:num w:numId="7" w16cid:durableId="1312563817">
    <w:abstractNumId w:val="2"/>
  </w:num>
  <w:num w:numId="8" w16cid:durableId="2124762565">
    <w:abstractNumId w:val="1"/>
  </w:num>
  <w:num w:numId="9" w16cid:durableId="1762870389">
    <w:abstractNumId w:val="1"/>
  </w:num>
  <w:num w:numId="10" w16cid:durableId="2096784060">
    <w:abstractNumId w:val="0"/>
  </w:num>
  <w:num w:numId="11" w16cid:durableId="78415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joannacaytas\documents\The Paid in Full Paradox and Section 1191(b) Solution(14868525.3) (002).docx"/>
    <w:docVar w:name="NORMALDOTM" w:val="NORMALDOTM"/>
  </w:docVars>
  <w:rsids>
    <w:rsidRoot w:val="00350768"/>
    <w:rsid w:val="00000B7F"/>
    <w:rsid w:val="000055D6"/>
    <w:rsid w:val="00027C83"/>
    <w:rsid w:val="00037221"/>
    <w:rsid w:val="00044D76"/>
    <w:rsid w:val="00051D92"/>
    <w:rsid w:val="00053C90"/>
    <w:rsid w:val="00060E03"/>
    <w:rsid w:val="00073B6D"/>
    <w:rsid w:val="0008404C"/>
    <w:rsid w:val="00084226"/>
    <w:rsid w:val="0009468A"/>
    <w:rsid w:val="0009545A"/>
    <w:rsid w:val="00096B23"/>
    <w:rsid w:val="00097FDD"/>
    <w:rsid w:val="000A46AF"/>
    <w:rsid w:val="000C6D62"/>
    <w:rsid w:val="000D3974"/>
    <w:rsid w:val="000E70E2"/>
    <w:rsid w:val="000F48DE"/>
    <w:rsid w:val="00100DD2"/>
    <w:rsid w:val="0010159E"/>
    <w:rsid w:val="00101875"/>
    <w:rsid w:val="00110579"/>
    <w:rsid w:val="001175AE"/>
    <w:rsid w:val="0013610D"/>
    <w:rsid w:val="00145CDD"/>
    <w:rsid w:val="00146988"/>
    <w:rsid w:val="001606BF"/>
    <w:rsid w:val="00167011"/>
    <w:rsid w:val="0018430A"/>
    <w:rsid w:val="00184E8F"/>
    <w:rsid w:val="00195624"/>
    <w:rsid w:val="001A4A3D"/>
    <w:rsid w:val="001B05F0"/>
    <w:rsid w:val="001B062F"/>
    <w:rsid w:val="001B32BB"/>
    <w:rsid w:val="001B36CC"/>
    <w:rsid w:val="001B396A"/>
    <w:rsid w:val="001B3A07"/>
    <w:rsid w:val="001B7CD5"/>
    <w:rsid w:val="001C1414"/>
    <w:rsid w:val="001C1995"/>
    <w:rsid w:val="001C1CEC"/>
    <w:rsid w:val="001C5C20"/>
    <w:rsid w:val="001C691C"/>
    <w:rsid w:val="001D0E62"/>
    <w:rsid w:val="001E0CB1"/>
    <w:rsid w:val="001E2551"/>
    <w:rsid w:val="001E38D5"/>
    <w:rsid w:val="001E732F"/>
    <w:rsid w:val="001F3307"/>
    <w:rsid w:val="002027B0"/>
    <w:rsid w:val="00211E4E"/>
    <w:rsid w:val="00224EA3"/>
    <w:rsid w:val="00227038"/>
    <w:rsid w:val="00240474"/>
    <w:rsid w:val="00242CFD"/>
    <w:rsid w:val="002539D5"/>
    <w:rsid w:val="002546EA"/>
    <w:rsid w:val="00257C03"/>
    <w:rsid w:val="00262F1A"/>
    <w:rsid w:val="00263B70"/>
    <w:rsid w:val="002654B4"/>
    <w:rsid w:val="002742A5"/>
    <w:rsid w:val="00284582"/>
    <w:rsid w:val="002918A5"/>
    <w:rsid w:val="002971C9"/>
    <w:rsid w:val="002A0BAE"/>
    <w:rsid w:val="002A152A"/>
    <w:rsid w:val="002A745A"/>
    <w:rsid w:val="002B1386"/>
    <w:rsid w:val="002B31DB"/>
    <w:rsid w:val="002B7C85"/>
    <w:rsid w:val="002D2876"/>
    <w:rsid w:val="002D2FED"/>
    <w:rsid w:val="002D4C85"/>
    <w:rsid w:val="002E0566"/>
    <w:rsid w:val="002F39E4"/>
    <w:rsid w:val="00304082"/>
    <w:rsid w:val="00304F61"/>
    <w:rsid w:val="00316455"/>
    <w:rsid w:val="003165C3"/>
    <w:rsid w:val="00320374"/>
    <w:rsid w:val="00321FFC"/>
    <w:rsid w:val="00324BEA"/>
    <w:rsid w:val="00325606"/>
    <w:rsid w:val="003403D8"/>
    <w:rsid w:val="003404E7"/>
    <w:rsid w:val="003459CB"/>
    <w:rsid w:val="00350768"/>
    <w:rsid w:val="0035196C"/>
    <w:rsid w:val="00355C92"/>
    <w:rsid w:val="003642DE"/>
    <w:rsid w:val="00364478"/>
    <w:rsid w:val="003677BF"/>
    <w:rsid w:val="00370D44"/>
    <w:rsid w:val="003729BF"/>
    <w:rsid w:val="00380BC6"/>
    <w:rsid w:val="00385929"/>
    <w:rsid w:val="00385A0C"/>
    <w:rsid w:val="003902D1"/>
    <w:rsid w:val="003A11AE"/>
    <w:rsid w:val="003B6B3F"/>
    <w:rsid w:val="003C0634"/>
    <w:rsid w:val="003C2553"/>
    <w:rsid w:val="003D2100"/>
    <w:rsid w:val="003D4E38"/>
    <w:rsid w:val="003D751B"/>
    <w:rsid w:val="003F0BF2"/>
    <w:rsid w:val="003F611B"/>
    <w:rsid w:val="003F7595"/>
    <w:rsid w:val="003F7FC6"/>
    <w:rsid w:val="0040651E"/>
    <w:rsid w:val="00410A8B"/>
    <w:rsid w:val="0041352D"/>
    <w:rsid w:val="0041408F"/>
    <w:rsid w:val="0042007B"/>
    <w:rsid w:val="0042310E"/>
    <w:rsid w:val="00433F65"/>
    <w:rsid w:val="00434504"/>
    <w:rsid w:val="00441EE8"/>
    <w:rsid w:val="004454C7"/>
    <w:rsid w:val="00450A7B"/>
    <w:rsid w:val="00465FD0"/>
    <w:rsid w:val="00473721"/>
    <w:rsid w:val="004814BD"/>
    <w:rsid w:val="00482CB7"/>
    <w:rsid w:val="0049193D"/>
    <w:rsid w:val="00496653"/>
    <w:rsid w:val="00496D93"/>
    <w:rsid w:val="004A581F"/>
    <w:rsid w:val="004A5E85"/>
    <w:rsid w:val="004B1646"/>
    <w:rsid w:val="004B18C5"/>
    <w:rsid w:val="004D7DE5"/>
    <w:rsid w:val="004E0334"/>
    <w:rsid w:val="004E6391"/>
    <w:rsid w:val="004F096A"/>
    <w:rsid w:val="004F1563"/>
    <w:rsid w:val="004F183A"/>
    <w:rsid w:val="004F4B87"/>
    <w:rsid w:val="004F6FF3"/>
    <w:rsid w:val="005038D7"/>
    <w:rsid w:val="0051020D"/>
    <w:rsid w:val="00511D20"/>
    <w:rsid w:val="00514B7A"/>
    <w:rsid w:val="00514DA8"/>
    <w:rsid w:val="00517583"/>
    <w:rsid w:val="00517F2D"/>
    <w:rsid w:val="0053641B"/>
    <w:rsid w:val="005432C7"/>
    <w:rsid w:val="00551B5F"/>
    <w:rsid w:val="00553654"/>
    <w:rsid w:val="005633C5"/>
    <w:rsid w:val="005660DC"/>
    <w:rsid w:val="00574DEB"/>
    <w:rsid w:val="00592C0F"/>
    <w:rsid w:val="00596C7F"/>
    <w:rsid w:val="00596E49"/>
    <w:rsid w:val="005A0C2C"/>
    <w:rsid w:val="005A7697"/>
    <w:rsid w:val="005C0EB2"/>
    <w:rsid w:val="005D2CFA"/>
    <w:rsid w:val="005D3BFB"/>
    <w:rsid w:val="005D5875"/>
    <w:rsid w:val="005D6328"/>
    <w:rsid w:val="005E6B22"/>
    <w:rsid w:val="005F5C1B"/>
    <w:rsid w:val="005F625E"/>
    <w:rsid w:val="00602333"/>
    <w:rsid w:val="00603A2D"/>
    <w:rsid w:val="0061148D"/>
    <w:rsid w:val="00615BF4"/>
    <w:rsid w:val="0061661D"/>
    <w:rsid w:val="006221D0"/>
    <w:rsid w:val="0062264C"/>
    <w:rsid w:val="00631603"/>
    <w:rsid w:val="00633D75"/>
    <w:rsid w:val="006430D4"/>
    <w:rsid w:val="00645C40"/>
    <w:rsid w:val="006563B2"/>
    <w:rsid w:val="006606EE"/>
    <w:rsid w:val="00665FC3"/>
    <w:rsid w:val="00676E92"/>
    <w:rsid w:val="006823E5"/>
    <w:rsid w:val="0068418C"/>
    <w:rsid w:val="00696A07"/>
    <w:rsid w:val="00696E1D"/>
    <w:rsid w:val="00697C81"/>
    <w:rsid w:val="006A34F0"/>
    <w:rsid w:val="006B04EF"/>
    <w:rsid w:val="006B0BC8"/>
    <w:rsid w:val="006B6B4F"/>
    <w:rsid w:val="006C0CD7"/>
    <w:rsid w:val="006D1849"/>
    <w:rsid w:val="006D56AD"/>
    <w:rsid w:val="006E106A"/>
    <w:rsid w:val="006E286A"/>
    <w:rsid w:val="006E5339"/>
    <w:rsid w:val="006E5ADE"/>
    <w:rsid w:val="006E6298"/>
    <w:rsid w:val="006F020E"/>
    <w:rsid w:val="006F2473"/>
    <w:rsid w:val="006F5F35"/>
    <w:rsid w:val="0070558E"/>
    <w:rsid w:val="00712D30"/>
    <w:rsid w:val="0071641A"/>
    <w:rsid w:val="00732757"/>
    <w:rsid w:val="0073295D"/>
    <w:rsid w:val="00734A9A"/>
    <w:rsid w:val="00735EB2"/>
    <w:rsid w:val="007377B1"/>
    <w:rsid w:val="00737A74"/>
    <w:rsid w:val="00737D6E"/>
    <w:rsid w:val="00747F3C"/>
    <w:rsid w:val="0075029F"/>
    <w:rsid w:val="00751461"/>
    <w:rsid w:val="00752378"/>
    <w:rsid w:val="00753B11"/>
    <w:rsid w:val="00753DC0"/>
    <w:rsid w:val="00756869"/>
    <w:rsid w:val="007600F9"/>
    <w:rsid w:val="00767D28"/>
    <w:rsid w:val="007725BA"/>
    <w:rsid w:val="007765FE"/>
    <w:rsid w:val="007923F3"/>
    <w:rsid w:val="007949CB"/>
    <w:rsid w:val="007A3A2C"/>
    <w:rsid w:val="007B2F9C"/>
    <w:rsid w:val="007C1A55"/>
    <w:rsid w:val="007C4C85"/>
    <w:rsid w:val="007C67C7"/>
    <w:rsid w:val="007C78F4"/>
    <w:rsid w:val="007E2E96"/>
    <w:rsid w:val="00801BCE"/>
    <w:rsid w:val="008104EB"/>
    <w:rsid w:val="008118FC"/>
    <w:rsid w:val="0081376C"/>
    <w:rsid w:val="00821E3A"/>
    <w:rsid w:val="00832707"/>
    <w:rsid w:val="008473B2"/>
    <w:rsid w:val="0085060B"/>
    <w:rsid w:val="00851927"/>
    <w:rsid w:val="00852D81"/>
    <w:rsid w:val="008551AD"/>
    <w:rsid w:val="008643C2"/>
    <w:rsid w:val="00866891"/>
    <w:rsid w:val="00876760"/>
    <w:rsid w:val="00886875"/>
    <w:rsid w:val="00893382"/>
    <w:rsid w:val="008A31E9"/>
    <w:rsid w:val="008B1B2D"/>
    <w:rsid w:val="008B758E"/>
    <w:rsid w:val="008D09D5"/>
    <w:rsid w:val="008E62BB"/>
    <w:rsid w:val="009006E8"/>
    <w:rsid w:val="00906E26"/>
    <w:rsid w:val="009101BA"/>
    <w:rsid w:val="00911DF4"/>
    <w:rsid w:val="00915719"/>
    <w:rsid w:val="0092089D"/>
    <w:rsid w:val="00920FB9"/>
    <w:rsid w:val="00923070"/>
    <w:rsid w:val="00930C0C"/>
    <w:rsid w:val="00951B86"/>
    <w:rsid w:val="00952932"/>
    <w:rsid w:val="009629E8"/>
    <w:rsid w:val="00966FC3"/>
    <w:rsid w:val="009710DD"/>
    <w:rsid w:val="0097389F"/>
    <w:rsid w:val="00974FF7"/>
    <w:rsid w:val="0097505F"/>
    <w:rsid w:val="00976C1A"/>
    <w:rsid w:val="00995FB3"/>
    <w:rsid w:val="009965F3"/>
    <w:rsid w:val="009A5584"/>
    <w:rsid w:val="009B1C61"/>
    <w:rsid w:val="009B6B8A"/>
    <w:rsid w:val="009C4384"/>
    <w:rsid w:val="009D0179"/>
    <w:rsid w:val="009D212D"/>
    <w:rsid w:val="009E2838"/>
    <w:rsid w:val="009E360C"/>
    <w:rsid w:val="009F0AB0"/>
    <w:rsid w:val="009F2757"/>
    <w:rsid w:val="00A03F1F"/>
    <w:rsid w:val="00A222AF"/>
    <w:rsid w:val="00A22A2F"/>
    <w:rsid w:val="00A24B48"/>
    <w:rsid w:val="00A25CE5"/>
    <w:rsid w:val="00A31C60"/>
    <w:rsid w:val="00A336F3"/>
    <w:rsid w:val="00A338EC"/>
    <w:rsid w:val="00A34B09"/>
    <w:rsid w:val="00A36A31"/>
    <w:rsid w:val="00A41471"/>
    <w:rsid w:val="00A51571"/>
    <w:rsid w:val="00A57F14"/>
    <w:rsid w:val="00A604E9"/>
    <w:rsid w:val="00A62096"/>
    <w:rsid w:val="00A639C9"/>
    <w:rsid w:val="00A65800"/>
    <w:rsid w:val="00A72E89"/>
    <w:rsid w:val="00A74F94"/>
    <w:rsid w:val="00A77B6B"/>
    <w:rsid w:val="00A8653B"/>
    <w:rsid w:val="00A97B85"/>
    <w:rsid w:val="00AA2A82"/>
    <w:rsid w:val="00AB4111"/>
    <w:rsid w:val="00AC0F90"/>
    <w:rsid w:val="00AD0E5E"/>
    <w:rsid w:val="00AD73DF"/>
    <w:rsid w:val="00AE1C22"/>
    <w:rsid w:val="00AE52D9"/>
    <w:rsid w:val="00AF2FA4"/>
    <w:rsid w:val="00B10B2B"/>
    <w:rsid w:val="00B120AC"/>
    <w:rsid w:val="00B177FB"/>
    <w:rsid w:val="00B204EE"/>
    <w:rsid w:val="00B2376C"/>
    <w:rsid w:val="00B24479"/>
    <w:rsid w:val="00B27C4B"/>
    <w:rsid w:val="00B40936"/>
    <w:rsid w:val="00B53F6E"/>
    <w:rsid w:val="00B6390F"/>
    <w:rsid w:val="00B6502B"/>
    <w:rsid w:val="00B66633"/>
    <w:rsid w:val="00B73435"/>
    <w:rsid w:val="00B74A84"/>
    <w:rsid w:val="00B86035"/>
    <w:rsid w:val="00B91742"/>
    <w:rsid w:val="00B95595"/>
    <w:rsid w:val="00B97720"/>
    <w:rsid w:val="00BA1ECA"/>
    <w:rsid w:val="00BA7277"/>
    <w:rsid w:val="00BB5F00"/>
    <w:rsid w:val="00BB78EB"/>
    <w:rsid w:val="00BC09E5"/>
    <w:rsid w:val="00BC1FFC"/>
    <w:rsid w:val="00BC62C9"/>
    <w:rsid w:val="00BC7E07"/>
    <w:rsid w:val="00BE2CFF"/>
    <w:rsid w:val="00BE6F8E"/>
    <w:rsid w:val="00BF39C0"/>
    <w:rsid w:val="00C02EF1"/>
    <w:rsid w:val="00C03382"/>
    <w:rsid w:val="00C102AE"/>
    <w:rsid w:val="00C12634"/>
    <w:rsid w:val="00C1756C"/>
    <w:rsid w:val="00C2044A"/>
    <w:rsid w:val="00C20CF0"/>
    <w:rsid w:val="00C36D66"/>
    <w:rsid w:val="00C36EA6"/>
    <w:rsid w:val="00C4433E"/>
    <w:rsid w:val="00C46001"/>
    <w:rsid w:val="00C52427"/>
    <w:rsid w:val="00C62D08"/>
    <w:rsid w:val="00C714F7"/>
    <w:rsid w:val="00C750CD"/>
    <w:rsid w:val="00C906AD"/>
    <w:rsid w:val="00C94103"/>
    <w:rsid w:val="00C94A8D"/>
    <w:rsid w:val="00CB4329"/>
    <w:rsid w:val="00CB4B92"/>
    <w:rsid w:val="00CB5C49"/>
    <w:rsid w:val="00CC2053"/>
    <w:rsid w:val="00CC34D1"/>
    <w:rsid w:val="00CC5192"/>
    <w:rsid w:val="00CD08FC"/>
    <w:rsid w:val="00CD1A0E"/>
    <w:rsid w:val="00CD30D5"/>
    <w:rsid w:val="00CD4526"/>
    <w:rsid w:val="00CE1DFE"/>
    <w:rsid w:val="00CE1E80"/>
    <w:rsid w:val="00CF4610"/>
    <w:rsid w:val="00CF5898"/>
    <w:rsid w:val="00CF6BB9"/>
    <w:rsid w:val="00CF6DE9"/>
    <w:rsid w:val="00CF7CC6"/>
    <w:rsid w:val="00D130B9"/>
    <w:rsid w:val="00D136B4"/>
    <w:rsid w:val="00D153EA"/>
    <w:rsid w:val="00D2235B"/>
    <w:rsid w:val="00D25050"/>
    <w:rsid w:val="00D254D8"/>
    <w:rsid w:val="00D2710B"/>
    <w:rsid w:val="00D27FBB"/>
    <w:rsid w:val="00D3333F"/>
    <w:rsid w:val="00D34372"/>
    <w:rsid w:val="00D3691E"/>
    <w:rsid w:val="00D54219"/>
    <w:rsid w:val="00D5634A"/>
    <w:rsid w:val="00D61182"/>
    <w:rsid w:val="00D61AD2"/>
    <w:rsid w:val="00D7190D"/>
    <w:rsid w:val="00D74DC8"/>
    <w:rsid w:val="00D77763"/>
    <w:rsid w:val="00D8434D"/>
    <w:rsid w:val="00D8714A"/>
    <w:rsid w:val="00D92753"/>
    <w:rsid w:val="00D94F40"/>
    <w:rsid w:val="00D97179"/>
    <w:rsid w:val="00DA05B3"/>
    <w:rsid w:val="00DB1BEC"/>
    <w:rsid w:val="00DB3180"/>
    <w:rsid w:val="00DB7121"/>
    <w:rsid w:val="00DC12CA"/>
    <w:rsid w:val="00DC33DF"/>
    <w:rsid w:val="00DD26DB"/>
    <w:rsid w:val="00DD327E"/>
    <w:rsid w:val="00DD3EBB"/>
    <w:rsid w:val="00DD6E86"/>
    <w:rsid w:val="00DD7348"/>
    <w:rsid w:val="00DE453C"/>
    <w:rsid w:val="00DF3829"/>
    <w:rsid w:val="00DF39D6"/>
    <w:rsid w:val="00DF5A0A"/>
    <w:rsid w:val="00DF77A3"/>
    <w:rsid w:val="00E019CF"/>
    <w:rsid w:val="00E0498A"/>
    <w:rsid w:val="00E12C85"/>
    <w:rsid w:val="00E20C20"/>
    <w:rsid w:val="00E21BB7"/>
    <w:rsid w:val="00E25BAB"/>
    <w:rsid w:val="00E40C40"/>
    <w:rsid w:val="00E410ED"/>
    <w:rsid w:val="00E519C9"/>
    <w:rsid w:val="00E57E07"/>
    <w:rsid w:val="00E64DA1"/>
    <w:rsid w:val="00E6512B"/>
    <w:rsid w:val="00E654B4"/>
    <w:rsid w:val="00E7263B"/>
    <w:rsid w:val="00E81696"/>
    <w:rsid w:val="00E81AAC"/>
    <w:rsid w:val="00E83BC7"/>
    <w:rsid w:val="00EA0451"/>
    <w:rsid w:val="00EA11ED"/>
    <w:rsid w:val="00EA2364"/>
    <w:rsid w:val="00EA6183"/>
    <w:rsid w:val="00EA6E42"/>
    <w:rsid w:val="00EB16D4"/>
    <w:rsid w:val="00EB4DA3"/>
    <w:rsid w:val="00ED02E4"/>
    <w:rsid w:val="00ED35B2"/>
    <w:rsid w:val="00ED4E36"/>
    <w:rsid w:val="00EE104D"/>
    <w:rsid w:val="00EF290A"/>
    <w:rsid w:val="00EF4A86"/>
    <w:rsid w:val="00F01E1F"/>
    <w:rsid w:val="00F03970"/>
    <w:rsid w:val="00F3284B"/>
    <w:rsid w:val="00F441B2"/>
    <w:rsid w:val="00F44CD2"/>
    <w:rsid w:val="00F4749C"/>
    <w:rsid w:val="00F53633"/>
    <w:rsid w:val="00F60E60"/>
    <w:rsid w:val="00F61818"/>
    <w:rsid w:val="00F61ED0"/>
    <w:rsid w:val="00F716EB"/>
    <w:rsid w:val="00F77FE2"/>
    <w:rsid w:val="00F820C3"/>
    <w:rsid w:val="00F82210"/>
    <w:rsid w:val="00F857AC"/>
    <w:rsid w:val="00F903B4"/>
    <w:rsid w:val="00F95D45"/>
    <w:rsid w:val="00F9630A"/>
    <w:rsid w:val="00FA3A7A"/>
    <w:rsid w:val="00FA3F8A"/>
    <w:rsid w:val="00FC1CD0"/>
    <w:rsid w:val="00FC30D1"/>
    <w:rsid w:val="00FC3EF0"/>
    <w:rsid w:val="00FD5DAF"/>
    <w:rsid w:val="00FD6258"/>
    <w:rsid w:val="00FD6B8C"/>
    <w:rsid w:val="00FE1E02"/>
    <w:rsid w:val="00FE4795"/>
    <w:rsid w:val="00FE4B4A"/>
    <w:rsid w:val="00FF15FA"/>
    <w:rsid w:val="00FF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22BF"/>
  <w15:chartTrackingRefBased/>
  <w15:docId w15:val="{6EC2134D-5235-426C-B062-E4A8CBD8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customStyle="1" w:styleId="QuotationD">
    <w:name w:val="_QuotationD"/>
    <w:basedOn w:val="Normal0"/>
    <w:link w:val="QuotationDChar"/>
    <w:pPr>
      <w:spacing w:before="240" w:after="240"/>
      <w:ind w:left="1440" w:right="1440"/>
    </w:pPr>
    <w:rPr>
      <w:i/>
      <w:noProof/>
    </w:rPr>
  </w:style>
  <w:style w:type="character" w:customStyle="1" w:styleId="QuotationDChar">
    <w:name w:val="_QuotationD Char"/>
    <w:basedOn w:val="NormalChar"/>
    <w:link w:val="QuotationD"/>
    <w:rPr>
      <w:rFonts w:ascii="Times New Roman" w:eastAsia="SimSun" w:hAnsi="Times New Roman" w:cs="Times New Roman"/>
      <w:i/>
      <w:noProof/>
      <w:sz w:val="24"/>
      <w:szCs w:val="20"/>
    </w:rPr>
  </w:style>
  <w:style w:type="character" w:styleId="Hyperlink">
    <w:name w:val="Hyperlink"/>
    <w:basedOn w:val="DefaultParagraphFont"/>
    <w:uiPriority w:val="99"/>
    <w:unhideWhenUsed/>
    <w:rsid w:val="007765FE"/>
    <w:rPr>
      <w:color w:val="0563C1" w:themeColor="hyperlink"/>
      <w:u w:val="single"/>
    </w:rPr>
  </w:style>
  <w:style w:type="character" w:styleId="UnresolvedMention">
    <w:name w:val="Unresolved Mention"/>
    <w:basedOn w:val="DefaultParagraphFont"/>
    <w:uiPriority w:val="99"/>
    <w:semiHidden/>
    <w:unhideWhenUsed/>
    <w:rsid w:val="007765FE"/>
    <w:rPr>
      <w:color w:val="605E5C"/>
      <w:shd w:val="clear" w:color="auto" w:fill="E1DFDD"/>
    </w:rPr>
  </w:style>
  <w:style w:type="character" w:customStyle="1" w:styleId="cosmallcaps">
    <w:name w:val="co_smallcaps"/>
    <w:basedOn w:val="DefaultParagraphFont"/>
    <w:rsid w:val="0030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495">
      <w:bodyDiv w:val="1"/>
      <w:marLeft w:val="0"/>
      <w:marRight w:val="0"/>
      <w:marTop w:val="0"/>
      <w:marBottom w:val="0"/>
      <w:divBdr>
        <w:top w:val="none" w:sz="0" w:space="0" w:color="auto"/>
        <w:left w:val="none" w:sz="0" w:space="0" w:color="auto"/>
        <w:bottom w:val="none" w:sz="0" w:space="0" w:color="auto"/>
        <w:right w:val="none" w:sz="0" w:space="0" w:color="auto"/>
      </w:divBdr>
      <w:divsChild>
        <w:div w:id="321276263">
          <w:marLeft w:val="0"/>
          <w:marRight w:val="0"/>
          <w:marTop w:val="0"/>
          <w:marBottom w:val="0"/>
          <w:divBdr>
            <w:top w:val="none" w:sz="0" w:space="0" w:color="3D3D3D"/>
            <w:left w:val="none" w:sz="0" w:space="0" w:color="3D3D3D"/>
            <w:bottom w:val="none" w:sz="0" w:space="0" w:color="3D3D3D"/>
            <w:right w:val="none" w:sz="0" w:space="0" w:color="3D3D3D"/>
          </w:divBdr>
        </w:div>
      </w:divsChild>
    </w:div>
    <w:div w:id="29570662">
      <w:bodyDiv w:val="1"/>
      <w:marLeft w:val="0"/>
      <w:marRight w:val="0"/>
      <w:marTop w:val="0"/>
      <w:marBottom w:val="0"/>
      <w:divBdr>
        <w:top w:val="none" w:sz="0" w:space="0" w:color="auto"/>
        <w:left w:val="none" w:sz="0" w:space="0" w:color="auto"/>
        <w:bottom w:val="none" w:sz="0" w:space="0" w:color="auto"/>
        <w:right w:val="none" w:sz="0" w:space="0" w:color="auto"/>
      </w:divBdr>
      <w:divsChild>
        <w:div w:id="1881161606">
          <w:marLeft w:val="0"/>
          <w:marRight w:val="0"/>
          <w:marTop w:val="0"/>
          <w:marBottom w:val="0"/>
          <w:divBdr>
            <w:top w:val="none" w:sz="0" w:space="0" w:color="3D3D3D"/>
            <w:left w:val="none" w:sz="0" w:space="0" w:color="3D3D3D"/>
            <w:bottom w:val="none" w:sz="0" w:space="0" w:color="3D3D3D"/>
            <w:right w:val="none" w:sz="0" w:space="0" w:color="3D3D3D"/>
          </w:divBdr>
          <w:divsChild>
            <w:div w:id="1029599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562851">
      <w:bodyDiv w:val="1"/>
      <w:marLeft w:val="0"/>
      <w:marRight w:val="0"/>
      <w:marTop w:val="0"/>
      <w:marBottom w:val="0"/>
      <w:divBdr>
        <w:top w:val="none" w:sz="0" w:space="0" w:color="auto"/>
        <w:left w:val="none" w:sz="0" w:space="0" w:color="auto"/>
        <w:bottom w:val="none" w:sz="0" w:space="0" w:color="auto"/>
        <w:right w:val="none" w:sz="0" w:space="0" w:color="auto"/>
      </w:divBdr>
      <w:divsChild>
        <w:div w:id="2044207827">
          <w:marLeft w:val="0"/>
          <w:marRight w:val="0"/>
          <w:marTop w:val="0"/>
          <w:marBottom w:val="0"/>
          <w:divBdr>
            <w:top w:val="none" w:sz="0" w:space="0" w:color="3D3D3D"/>
            <w:left w:val="none" w:sz="0" w:space="0" w:color="3D3D3D"/>
            <w:bottom w:val="none" w:sz="0" w:space="0" w:color="3D3D3D"/>
            <w:right w:val="none" w:sz="0" w:space="0" w:color="3D3D3D"/>
          </w:divBdr>
          <w:divsChild>
            <w:div w:id="2230323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601870">
      <w:bodyDiv w:val="1"/>
      <w:marLeft w:val="0"/>
      <w:marRight w:val="0"/>
      <w:marTop w:val="0"/>
      <w:marBottom w:val="0"/>
      <w:divBdr>
        <w:top w:val="none" w:sz="0" w:space="0" w:color="auto"/>
        <w:left w:val="none" w:sz="0" w:space="0" w:color="auto"/>
        <w:bottom w:val="none" w:sz="0" w:space="0" w:color="auto"/>
        <w:right w:val="none" w:sz="0" w:space="0" w:color="auto"/>
      </w:divBdr>
      <w:divsChild>
        <w:div w:id="426654677">
          <w:marLeft w:val="0"/>
          <w:marRight w:val="0"/>
          <w:marTop w:val="0"/>
          <w:marBottom w:val="0"/>
          <w:divBdr>
            <w:top w:val="none" w:sz="0" w:space="0" w:color="3D3D3D"/>
            <w:left w:val="none" w:sz="0" w:space="0" w:color="3D3D3D"/>
            <w:bottom w:val="none" w:sz="0" w:space="0" w:color="3D3D3D"/>
            <w:right w:val="none" w:sz="0" w:space="0" w:color="3D3D3D"/>
          </w:divBdr>
        </w:div>
      </w:divsChild>
    </w:div>
    <w:div w:id="198202910">
      <w:bodyDiv w:val="1"/>
      <w:marLeft w:val="0"/>
      <w:marRight w:val="0"/>
      <w:marTop w:val="0"/>
      <w:marBottom w:val="0"/>
      <w:divBdr>
        <w:top w:val="none" w:sz="0" w:space="0" w:color="auto"/>
        <w:left w:val="none" w:sz="0" w:space="0" w:color="auto"/>
        <w:bottom w:val="none" w:sz="0" w:space="0" w:color="auto"/>
        <w:right w:val="none" w:sz="0" w:space="0" w:color="auto"/>
      </w:divBdr>
      <w:divsChild>
        <w:div w:id="1185091765">
          <w:marLeft w:val="0"/>
          <w:marRight w:val="0"/>
          <w:marTop w:val="0"/>
          <w:marBottom w:val="0"/>
          <w:divBdr>
            <w:top w:val="none" w:sz="0" w:space="0" w:color="3D3D3D"/>
            <w:left w:val="none" w:sz="0" w:space="0" w:color="3D3D3D"/>
            <w:bottom w:val="none" w:sz="0" w:space="0" w:color="3D3D3D"/>
            <w:right w:val="none" w:sz="0" w:space="0" w:color="3D3D3D"/>
          </w:divBdr>
        </w:div>
      </w:divsChild>
    </w:div>
    <w:div w:id="200824429">
      <w:bodyDiv w:val="1"/>
      <w:marLeft w:val="0"/>
      <w:marRight w:val="0"/>
      <w:marTop w:val="0"/>
      <w:marBottom w:val="0"/>
      <w:divBdr>
        <w:top w:val="none" w:sz="0" w:space="0" w:color="auto"/>
        <w:left w:val="none" w:sz="0" w:space="0" w:color="auto"/>
        <w:bottom w:val="none" w:sz="0" w:space="0" w:color="auto"/>
        <w:right w:val="none" w:sz="0" w:space="0" w:color="auto"/>
      </w:divBdr>
      <w:divsChild>
        <w:div w:id="1849052706">
          <w:marLeft w:val="0"/>
          <w:marRight w:val="0"/>
          <w:marTop w:val="0"/>
          <w:marBottom w:val="0"/>
          <w:divBdr>
            <w:top w:val="none" w:sz="0" w:space="0" w:color="3D3D3D"/>
            <w:left w:val="none" w:sz="0" w:space="0" w:color="3D3D3D"/>
            <w:bottom w:val="none" w:sz="0" w:space="0" w:color="3D3D3D"/>
            <w:right w:val="none" w:sz="0" w:space="0" w:color="3D3D3D"/>
          </w:divBdr>
        </w:div>
      </w:divsChild>
    </w:div>
    <w:div w:id="229969772">
      <w:bodyDiv w:val="1"/>
      <w:marLeft w:val="0"/>
      <w:marRight w:val="0"/>
      <w:marTop w:val="0"/>
      <w:marBottom w:val="0"/>
      <w:divBdr>
        <w:top w:val="none" w:sz="0" w:space="0" w:color="auto"/>
        <w:left w:val="none" w:sz="0" w:space="0" w:color="auto"/>
        <w:bottom w:val="none" w:sz="0" w:space="0" w:color="auto"/>
        <w:right w:val="none" w:sz="0" w:space="0" w:color="auto"/>
      </w:divBdr>
      <w:divsChild>
        <w:div w:id="1954633741">
          <w:marLeft w:val="0"/>
          <w:marRight w:val="0"/>
          <w:marTop w:val="0"/>
          <w:marBottom w:val="0"/>
          <w:divBdr>
            <w:top w:val="none" w:sz="0" w:space="0" w:color="3D3D3D"/>
            <w:left w:val="none" w:sz="0" w:space="0" w:color="3D3D3D"/>
            <w:bottom w:val="none" w:sz="0" w:space="0" w:color="3D3D3D"/>
            <w:right w:val="none" w:sz="0" w:space="0" w:color="3D3D3D"/>
          </w:divBdr>
          <w:divsChild>
            <w:div w:id="20456702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2547807">
      <w:bodyDiv w:val="1"/>
      <w:marLeft w:val="0"/>
      <w:marRight w:val="0"/>
      <w:marTop w:val="0"/>
      <w:marBottom w:val="0"/>
      <w:divBdr>
        <w:top w:val="none" w:sz="0" w:space="0" w:color="auto"/>
        <w:left w:val="none" w:sz="0" w:space="0" w:color="auto"/>
        <w:bottom w:val="none" w:sz="0" w:space="0" w:color="auto"/>
        <w:right w:val="none" w:sz="0" w:space="0" w:color="auto"/>
      </w:divBdr>
      <w:divsChild>
        <w:div w:id="175728270">
          <w:marLeft w:val="0"/>
          <w:marRight w:val="0"/>
          <w:marTop w:val="0"/>
          <w:marBottom w:val="0"/>
          <w:divBdr>
            <w:top w:val="none" w:sz="0" w:space="0" w:color="3D3D3D"/>
            <w:left w:val="none" w:sz="0" w:space="0" w:color="3D3D3D"/>
            <w:bottom w:val="none" w:sz="0" w:space="0" w:color="3D3D3D"/>
            <w:right w:val="none" w:sz="0" w:space="0" w:color="3D3D3D"/>
          </w:divBdr>
        </w:div>
      </w:divsChild>
    </w:div>
    <w:div w:id="234124396">
      <w:bodyDiv w:val="1"/>
      <w:marLeft w:val="0"/>
      <w:marRight w:val="0"/>
      <w:marTop w:val="0"/>
      <w:marBottom w:val="0"/>
      <w:divBdr>
        <w:top w:val="none" w:sz="0" w:space="0" w:color="auto"/>
        <w:left w:val="none" w:sz="0" w:space="0" w:color="auto"/>
        <w:bottom w:val="none" w:sz="0" w:space="0" w:color="auto"/>
        <w:right w:val="none" w:sz="0" w:space="0" w:color="auto"/>
      </w:divBdr>
      <w:divsChild>
        <w:div w:id="1853640093">
          <w:marLeft w:val="0"/>
          <w:marRight w:val="0"/>
          <w:marTop w:val="0"/>
          <w:marBottom w:val="0"/>
          <w:divBdr>
            <w:top w:val="none" w:sz="0" w:space="0" w:color="3D3D3D"/>
            <w:left w:val="none" w:sz="0" w:space="0" w:color="3D3D3D"/>
            <w:bottom w:val="none" w:sz="0" w:space="0" w:color="3D3D3D"/>
            <w:right w:val="none" w:sz="0" w:space="0" w:color="3D3D3D"/>
          </w:divBdr>
          <w:divsChild>
            <w:div w:id="1256014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4747910">
      <w:bodyDiv w:val="1"/>
      <w:marLeft w:val="0"/>
      <w:marRight w:val="0"/>
      <w:marTop w:val="0"/>
      <w:marBottom w:val="0"/>
      <w:divBdr>
        <w:top w:val="none" w:sz="0" w:space="0" w:color="auto"/>
        <w:left w:val="none" w:sz="0" w:space="0" w:color="auto"/>
        <w:bottom w:val="none" w:sz="0" w:space="0" w:color="auto"/>
        <w:right w:val="none" w:sz="0" w:space="0" w:color="auto"/>
      </w:divBdr>
      <w:divsChild>
        <w:div w:id="1330059436">
          <w:marLeft w:val="0"/>
          <w:marRight w:val="0"/>
          <w:marTop w:val="0"/>
          <w:marBottom w:val="0"/>
          <w:divBdr>
            <w:top w:val="none" w:sz="0" w:space="0" w:color="3D3D3D"/>
            <w:left w:val="none" w:sz="0" w:space="0" w:color="3D3D3D"/>
            <w:bottom w:val="none" w:sz="0" w:space="0" w:color="3D3D3D"/>
            <w:right w:val="none" w:sz="0" w:space="0" w:color="3D3D3D"/>
          </w:divBdr>
          <w:divsChild>
            <w:div w:id="18586916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0208127">
      <w:bodyDiv w:val="1"/>
      <w:marLeft w:val="0"/>
      <w:marRight w:val="0"/>
      <w:marTop w:val="0"/>
      <w:marBottom w:val="0"/>
      <w:divBdr>
        <w:top w:val="none" w:sz="0" w:space="0" w:color="auto"/>
        <w:left w:val="none" w:sz="0" w:space="0" w:color="auto"/>
        <w:bottom w:val="none" w:sz="0" w:space="0" w:color="auto"/>
        <w:right w:val="none" w:sz="0" w:space="0" w:color="auto"/>
      </w:divBdr>
      <w:divsChild>
        <w:div w:id="1791706988">
          <w:marLeft w:val="0"/>
          <w:marRight w:val="0"/>
          <w:marTop w:val="0"/>
          <w:marBottom w:val="0"/>
          <w:divBdr>
            <w:top w:val="none" w:sz="0" w:space="0" w:color="3D3D3D"/>
            <w:left w:val="none" w:sz="0" w:space="0" w:color="3D3D3D"/>
            <w:bottom w:val="none" w:sz="0" w:space="0" w:color="3D3D3D"/>
            <w:right w:val="none" w:sz="0" w:space="0" w:color="3D3D3D"/>
          </w:divBdr>
          <w:divsChild>
            <w:div w:id="14039882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0964118">
      <w:bodyDiv w:val="1"/>
      <w:marLeft w:val="0"/>
      <w:marRight w:val="0"/>
      <w:marTop w:val="0"/>
      <w:marBottom w:val="0"/>
      <w:divBdr>
        <w:top w:val="none" w:sz="0" w:space="0" w:color="auto"/>
        <w:left w:val="none" w:sz="0" w:space="0" w:color="auto"/>
        <w:bottom w:val="none" w:sz="0" w:space="0" w:color="auto"/>
        <w:right w:val="none" w:sz="0" w:space="0" w:color="auto"/>
      </w:divBdr>
      <w:divsChild>
        <w:div w:id="936597644">
          <w:marLeft w:val="0"/>
          <w:marRight w:val="0"/>
          <w:marTop w:val="0"/>
          <w:marBottom w:val="0"/>
          <w:divBdr>
            <w:top w:val="none" w:sz="0" w:space="0" w:color="3D3D3D"/>
            <w:left w:val="none" w:sz="0" w:space="0" w:color="3D3D3D"/>
            <w:bottom w:val="none" w:sz="0" w:space="0" w:color="3D3D3D"/>
            <w:right w:val="none" w:sz="0" w:space="0" w:color="3D3D3D"/>
          </w:divBdr>
          <w:divsChild>
            <w:div w:id="7066785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9818104">
      <w:bodyDiv w:val="1"/>
      <w:marLeft w:val="0"/>
      <w:marRight w:val="0"/>
      <w:marTop w:val="0"/>
      <w:marBottom w:val="0"/>
      <w:divBdr>
        <w:top w:val="none" w:sz="0" w:space="0" w:color="auto"/>
        <w:left w:val="none" w:sz="0" w:space="0" w:color="auto"/>
        <w:bottom w:val="none" w:sz="0" w:space="0" w:color="auto"/>
        <w:right w:val="none" w:sz="0" w:space="0" w:color="auto"/>
      </w:divBdr>
      <w:divsChild>
        <w:div w:id="2128891453">
          <w:marLeft w:val="0"/>
          <w:marRight w:val="0"/>
          <w:marTop w:val="0"/>
          <w:marBottom w:val="0"/>
          <w:divBdr>
            <w:top w:val="none" w:sz="0" w:space="0" w:color="3D3D3D"/>
            <w:left w:val="none" w:sz="0" w:space="0" w:color="3D3D3D"/>
            <w:bottom w:val="none" w:sz="0" w:space="0" w:color="3D3D3D"/>
            <w:right w:val="none" w:sz="0" w:space="0" w:color="3D3D3D"/>
          </w:divBdr>
          <w:divsChild>
            <w:div w:id="1797805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2421202">
      <w:bodyDiv w:val="1"/>
      <w:marLeft w:val="0"/>
      <w:marRight w:val="0"/>
      <w:marTop w:val="0"/>
      <w:marBottom w:val="0"/>
      <w:divBdr>
        <w:top w:val="none" w:sz="0" w:space="0" w:color="auto"/>
        <w:left w:val="none" w:sz="0" w:space="0" w:color="auto"/>
        <w:bottom w:val="none" w:sz="0" w:space="0" w:color="auto"/>
        <w:right w:val="none" w:sz="0" w:space="0" w:color="auto"/>
      </w:divBdr>
      <w:divsChild>
        <w:div w:id="1532106961">
          <w:marLeft w:val="0"/>
          <w:marRight w:val="0"/>
          <w:marTop w:val="0"/>
          <w:marBottom w:val="0"/>
          <w:divBdr>
            <w:top w:val="none" w:sz="0" w:space="0" w:color="3D3D3D"/>
            <w:left w:val="none" w:sz="0" w:space="0" w:color="3D3D3D"/>
            <w:bottom w:val="none" w:sz="0" w:space="0" w:color="3D3D3D"/>
            <w:right w:val="none" w:sz="0" w:space="0" w:color="3D3D3D"/>
          </w:divBdr>
          <w:divsChild>
            <w:div w:id="522398470">
              <w:marLeft w:val="0"/>
              <w:marRight w:val="0"/>
              <w:marTop w:val="0"/>
              <w:marBottom w:val="0"/>
              <w:divBdr>
                <w:top w:val="none" w:sz="0" w:space="0" w:color="3D3D3D"/>
                <w:left w:val="none" w:sz="0" w:space="0" w:color="3D3D3D"/>
                <w:bottom w:val="none" w:sz="0" w:space="0" w:color="3D3D3D"/>
                <w:right w:val="none" w:sz="0" w:space="0" w:color="3D3D3D"/>
              </w:divBdr>
              <w:divsChild>
                <w:div w:id="234052985">
                  <w:marLeft w:val="0"/>
                  <w:marRight w:val="0"/>
                  <w:marTop w:val="0"/>
                  <w:marBottom w:val="0"/>
                  <w:divBdr>
                    <w:top w:val="none" w:sz="0" w:space="0" w:color="3D3D3D"/>
                    <w:left w:val="none" w:sz="0" w:space="12" w:color="3D3D3D"/>
                    <w:bottom w:val="none" w:sz="0" w:space="0" w:color="3D3D3D"/>
                    <w:right w:val="none" w:sz="0" w:space="0" w:color="3D3D3D"/>
                  </w:divBdr>
                </w:div>
              </w:divsChild>
            </w:div>
            <w:div w:id="517815781">
              <w:marLeft w:val="0"/>
              <w:marRight w:val="0"/>
              <w:marTop w:val="240"/>
              <w:marBottom w:val="0"/>
              <w:divBdr>
                <w:top w:val="none" w:sz="0" w:space="0" w:color="3D3D3D"/>
                <w:left w:val="none" w:sz="0" w:space="0" w:color="3D3D3D"/>
                <w:bottom w:val="none" w:sz="0" w:space="0" w:color="3D3D3D"/>
                <w:right w:val="none" w:sz="0" w:space="0" w:color="3D3D3D"/>
              </w:divBdr>
              <w:divsChild>
                <w:div w:id="37366591">
                  <w:marLeft w:val="0"/>
                  <w:marRight w:val="0"/>
                  <w:marTop w:val="0"/>
                  <w:marBottom w:val="0"/>
                  <w:divBdr>
                    <w:top w:val="none" w:sz="0" w:space="0" w:color="3D3D3D"/>
                    <w:left w:val="none" w:sz="0" w:space="0" w:color="3D3D3D"/>
                    <w:bottom w:val="none" w:sz="0" w:space="0" w:color="3D3D3D"/>
                    <w:right w:val="none" w:sz="0" w:space="0" w:color="3D3D3D"/>
                  </w:divBdr>
                  <w:divsChild>
                    <w:div w:id="230892136">
                      <w:marLeft w:val="0"/>
                      <w:marRight w:val="0"/>
                      <w:marTop w:val="0"/>
                      <w:marBottom w:val="0"/>
                      <w:divBdr>
                        <w:top w:val="none" w:sz="0" w:space="0" w:color="3D3D3D"/>
                        <w:left w:val="none" w:sz="0" w:space="27" w:color="3D3D3D"/>
                        <w:bottom w:val="none" w:sz="0" w:space="0" w:color="3D3D3D"/>
                        <w:right w:val="none" w:sz="0" w:space="0" w:color="3D3D3D"/>
                      </w:divBdr>
                    </w:div>
                  </w:divsChild>
                </w:div>
              </w:divsChild>
            </w:div>
            <w:div w:id="374411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6203537">
      <w:bodyDiv w:val="1"/>
      <w:marLeft w:val="0"/>
      <w:marRight w:val="0"/>
      <w:marTop w:val="0"/>
      <w:marBottom w:val="0"/>
      <w:divBdr>
        <w:top w:val="none" w:sz="0" w:space="0" w:color="auto"/>
        <w:left w:val="none" w:sz="0" w:space="0" w:color="auto"/>
        <w:bottom w:val="none" w:sz="0" w:space="0" w:color="auto"/>
        <w:right w:val="none" w:sz="0" w:space="0" w:color="auto"/>
      </w:divBdr>
    </w:div>
    <w:div w:id="366100680">
      <w:bodyDiv w:val="1"/>
      <w:marLeft w:val="0"/>
      <w:marRight w:val="0"/>
      <w:marTop w:val="0"/>
      <w:marBottom w:val="0"/>
      <w:divBdr>
        <w:top w:val="none" w:sz="0" w:space="0" w:color="auto"/>
        <w:left w:val="none" w:sz="0" w:space="0" w:color="auto"/>
        <w:bottom w:val="none" w:sz="0" w:space="0" w:color="auto"/>
        <w:right w:val="none" w:sz="0" w:space="0" w:color="auto"/>
      </w:divBdr>
      <w:divsChild>
        <w:div w:id="1977374420">
          <w:marLeft w:val="0"/>
          <w:marRight w:val="0"/>
          <w:marTop w:val="0"/>
          <w:marBottom w:val="0"/>
          <w:divBdr>
            <w:top w:val="none" w:sz="0" w:space="0" w:color="3D3D3D"/>
            <w:left w:val="none" w:sz="0" w:space="0" w:color="3D3D3D"/>
            <w:bottom w:val="none" w:sz="0" w:space="0" w:color="3D3D3D"/>
            <w:right w:val="none" w:sz="0" w:space="0" w:color="3D3D3D"/>
          </w:divBdr>
          <w:divsChild>
            <w:div w:id="7338162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7362261">
      <w:bodyDiv w:val="1"/>
      <w:marLeft w:val="0"/>
      <w:marRight w:val="0"/>
      <w:marTop w:val="0"/>
      <w:marBottom w:val="0"/>
      <w:divBdr>
        <w:top w:val="none" w:sz="0" w:space="0" w:color="auto"/>
        <w:left w:val="none" w:sz="0" w:space="0" w:color="auto"/>
        <w:bottom w:val="none" w:sz="0" w:space="0" w:color="auto"/>
        <w:right w:val="none" w:sz="0" w:space="0" w:color="auto"/>
      </w:divBdr>
      <w:divsChild>
        <w:div w:id="372075234">
          <w:marLeft w:val="0"/>
          <w:marRight w:val="0"/>
          <w:marTop w:val="0"/>
          <w:marBottom w:val="0"/>
          <w:divBdr>
            <w:top w:val="none" w:sz="0" w:space="0" w:color="3D3D3D"/>
            <w:left w:val="none" w:sz="0" w:space="0" w:color="3D3D3D"/>
            <w:bottom w:val="none" w:sz="0" w:space="0" w:color="3D3D3D"/>
            <w:right w:val="none" w:sz="0" w:space="0" w:color="3D3D3D"/>
          </w:divBdr>
          <w:divsChild>
            <w:div w:id="9764217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2403797">
      <w:bodyDiv w:val="1"/>
      <w:marLeft w:val="0"/>
      <w:marRight w:val="0"/>
      <w:marTop w:val="0"/>
      <w:marBottom w:val="0"/>
      <w:divBdr>
        <w:top w:val="none" w:sz="0" w:space="0" w:color="auto"/>
        <w:left w:val="none" w:sz="0" w:space="0" w:color="auto"/>
        <w:bottom w:val="none" w:sz="0" w:space="0" w:color="auto"/>
        <w:right w:val="none" w:sz="0" w:space="0" w:color="auto"/>
      </w:divBdr>
      <w:divsChild>
        <w:div w:id="1501893651">
          <w:marLeft w:val="0"/>
          <w:marRight w:val="0"/>
          <w:marTop w:val="0"/>
          <w:marBottom w:val="0"/>
          <w:divBdr>
            <w:top w:val="none" w:sz="0" w:space="0" w:color="3D3D3D"/>
            <w:left w:val="none" w:sz="0" w:space="0" w:color="3D3D3D"/>
            <w:bottom w:val="none" w:sz="0" w:space="0" w:color="3D3D3D"/>
            <w:right w:val="none" w:sz="0" w:space="0" w:color="3D3D3D"/>
          </w:divBdr>
          <w:divsChild>
            <w:div w:id="5342741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79738062">
      <w:bodyDiv w:val="1"/>
      <w:marLeft w:val="0"/>
      <w:marRight w:val="0"/>
      <w:marTop w:val="0"/>
      <w:marBottom w:val="0"/>
      <w:divBdr>
        <w:top w:val="none" w:sz="0" w:space="0" w:color="auto"/>
        <w:left w:val="none" w:sz="0" w:space="0" w:color="auto"/>
        <w:bottom w:val="none" w:sz="0" w:space="0" w:color="auto"/>
        <w:right w:val="none" w:sz="0" w:space="0" w:color="auto"/>
      </w:divBdr>
      <w:divsChild>
        <w:div w:id="1640109518">
          <w:marLeft w:val="0"/>
          <w:marRight w:val="0"/>
          <w:marTop w:val="0"/>
          <w:marBottom w:val="0"/>
          <w:divBdr>
            <w:top w:val="none" w:sz="0" w:space="0" w:color="3D3D3D"/>
            <w:left w:val="none" w:sz="0" w:space="0" w:color="3D3D3D"/>
            <w:bottom w:val="none" w:sz="0" w:space="0" w:color="3D3D3D"/>
            <w:right w:val="none" w:sz="0" w:space="0" w:color="3D3D3D"/>
          </w:divBdr>
        </w:div>
      </w:divsChild>
    </w:div>
    <w:div w:id="491801650">
      <w:bodyDiv w:val="1"/>
      <w:marLeft w:val="0"/>
      <w:marRight w:val="0"/>
      <w:marTop w:val="0"/>
      <w:marBottom w:val="0"/>
      <w:divBdr>
        <w:top w:val="none" w:sz="0" w:space="0" w:color="auto"/>
        <w:left w:val="none" w:sz="0" w:space="0" w:color="auto"/>
        <w:bottom w:val="none" w:sz="0" w:space="0" w:color="auto"/>
        <w:right w:val="none" w:sz="0" w:space="0" w:color="auto"/>
      </w:divBdr>
      <w:divsChild>
        <w:div w:id="1591230743">
          <w:marLeft w:val="0"/>
          <w:marRight w:val="0"/>
          <w:marTop w:val="0"/>
          <w:marBottom w:val="0"/>
          <w:divBdr>
            <w:top w:val="none" w:sz="0" w:space="0" w:color="3D3D3D"/>
            <w:left w:val="none" w:sz="0" w:space="0" w:color="3D3D3D"/>
            <w:bottom w:val="none" w:sz="0" w:space="0" w:color="3D3D3D"/>
            <w:right w:val="none" w:sz="0" w:space="0" w:color="3D3D3D"/>
          </w:divBdr>
          <w:divsChild>
            <w:div w:id="19799963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6748956">
      <w:bodyDiv w:val="1"/>
      <w:marLeft w:val="0"/>
      <w:marRight w:val="0"/>
      <w:marTop w:val="0"/>
      <w:marBottom w:val="0"/>
      <w:divBdr>
        <w:top w:val="none" w:sz="0" w:space="0" w:color="auto"/>
        <w:left w:val="none" w:sz="0" w:space="0" w:color="auto"/>
        <w:bottom w:val="none" w:sz="0" w:space="0" w:color="auto"/>
        <w:right w:val="none" w:sz="0" w:space="0" w:color="auto"/>
      </w:divBdr>
      <w:divsChild>
        <w:div w:id="771170877">
          <w:marLeft w:val="0"/>
          <w:marRight w:val="0"/>
          <w:marTop w:val="0"/>
          <w:marBottom w:val="0"/>
          <w:divBdr>
            <w:top w:val="none" w:sz="0" w:space="0" w:color="3D3D3D"/>
            <w:left w:val="none" w:sz="0" w:space="0" w:color="3D3D3D"/>
            <w:bottom w:val="none" w:sz="0" w:space="0" w:color="3D3D3D"/>
            <w:right w:val="none" w:sz="0" w:space="0" w:color="3D3D3D"/>
          </w:divBdr>
          <w:divsChild>
            <w:div w:id="19082950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9167298">
      <w:bodyDiv w:val="1"/>
      <w:marLeft w:val="0"/>
      <w:marRight w:val="0"/>
      <w:marTop w:val="0"/>
      <w:marBottom w:val="0"/>
      <w:divBdr>
        <w:top w:val="none" w:sz="0" w:space="0" w:color="auto"/>
        <w:left w:val="none" w:sz="0" w:space="0" w:color="auto"/>
        <w:bottom w:val="none" w:sz="0" w:space="0" w:color="auto"/>
        <w:right w:val="none" w:sz="0" w:space="0" w:color="auto"/>
      </w:divBdr>
      <w:divsChild>
        <w:div w:id="1996758292">
          <w:marLeft w:val="0"/>
          <w:marRight w:val="0"/>
          <w:marTop w:val="0"/>
          <w:marBottom w:val="0"/>
          <w:divBdr>
            <w:top w:val="none" w:sz="0" w:space="0" w:color="3D3D3D"/>
            <w:left w:val="none" w:sz="0" w:space="0" w:color="3D3D3D"/>
            <w:bottom w:val="none" w:sz="0" w:space="0" w:color="3D3D3D"/>
            <w:right w:val="none" w:sz="0" w:space="0" w:color="3D3D3D"/>
          </w:divBdr>
          <w:divsChild>
            <w:div w:id="12774499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4203323">
      <w:bodyDiv w:val="1"/>
      <w:marLeft w:val="0"/>
      <w:marRight w:val="0"/>
      <w:marTop w:val="0"/>
      <w:marBottom w:val="0"/>
      <w:divBdr>
        <w:top w:val="none" w:sz="0" w:space="0" w:color="auto"/>
        <w:left w:val="none" w:sz="0" w:space="0" w:color="auto"/>
        <w:bottom w:val="none" w:sz="0" w:space="0" w:color="auto"/>
        <w:right w:val="none" w:sz="0" w:space="0" w:color="auto"/>
      </w:divBdr>
      <w:divsChild>
        <w:div w:id="262226766">
          <w:marLeft w:val="0"/>
          <w:marRight w:val="0"/>
          <w:marTop w:val="0"/>
          <w:marBottom w:val="0"/>
          <w:divBdr>
            <w:top w:val="none" w:sz="0" w:space="0" w:color="3D3D3D"/>
            <w:left w:val="none" w:sz="0" w:space="0" w:color="3D3D3D"/>
            <w:bottom w:val="none" w:sz="0" w:space="0" w:color="3D3D3D"/>
            <w:right w:val="none" w:sz="0" w:space="0" w:color="3D3D3D"/>
          </w:divBdr>
        </w:div>
      </w:divsChild>
    </w:div>
    <w:div w:id="756175973">
      <w:bodyDiv w:val="1"/>
      <w:marLeft w:val="0"/>
      <w:marRight w:val="0"/>
      <w:marTop w:val="0"/>
      <w:marBottom w:val="0"/>
      <w:divBdr>
        <w:top w:val="none" w:sz="0" w:space="0" w:color="auto"/>
        <w:left w:val="none" w:sz="0" w:space="0" w:color="auto"/>
        <w:bottom w:val="none" w:sz="0" w:space="0" w:color="auto"/>
        <w:right w:val="none" w:sz="0" w:space="0" w:color="auto"/>
      </w:divBdr>
      <w:divsChild>
        <w:div w:id="1485200825">
          <w:marLeft w:val="0"/>
          <w:marRight w:val="0"/>
          <w:marTop w:val="0"/>
          <w:marBottom w:val="0"/>
          <w:divBdr>
            <w:top w:val="none" w:sz="0" w:space="0" w:color="3D3D3D"/>
            <w:left w:val="none" w:sz="0" w:space="0" w:color="3D3D3D"/>
            <w:bottom w:val="none" w:sz="0" w:space="0" w:color="3D3D3D"/>
            <w:right w:val="none" w:sz="0" w:space="0" w:color="3D3D3D"/>
          </w:divBdr>
          <w:divsChild>
            <w:div w:id="10875362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9254509">
      <w:bodyDiv w:val="1"/>
      <w:marLeft w:val="0"/>
      <w:marRight w:val="0"/>
      <w:marTop w:val="0"/>
      <w:marBottom w:val="0"/>
      <w:divBdr>
        <w:top w:val="none" w:sz="0" w:space="0" w:color="auto"/>
        <w:left w:val="none" w:sz="0" w:space="0" w:color="auto"/>
        <w:bottom w:val="none" w:sz="0" w:space="0" w:color="auto"/>
        <w:right w:val="none" w:sz="0" w:space="0" w:color="auto"/>
      </w:divBdr>
      <w:divsChild>
        <w:div w:id="376584043">
          <w:marLeft w:val="0"/>
          <w:marRight w:val="0"/>
          <w:marTop w:val="0"/>
          <w:marBottom w:val="0"/>
          <w:divBdr>
            <w:top w:val="none" w:sz="0" w:space="0" w:color="3D3D3D"/>
            <w:left w:val="none" w:sz="0" w:space="0" w:color="3D3D3D"/>
            <w:bottom w:val="none" w:sz="0" w:space="0" w:color="3D3D3D"/>
            <w:right w:val="none" w:sz="0" w:space="0" w:color="3D3D3D"/>
          </w:divBdr>
          <w:divsChild>
            <w:div w:id="1742944347">
              <w:marLeft w:val="0"/>
              <w:marRight w:val="0"/>
              <w:marTop w:val="0"/>
              <w:marBottom w:val="0"/>
              <w:divBdr>
                <w:top w:val="none" w:sz="0" w:space="0" w:color="3D3D3D"/>
                <w:left w:val="none" w:sz="0" w:space="0" w:color="3D3D3D"/>
                <w:bottom w:val="none" w:sz="0" w:space="0" w:color="3D3D3D"/>
                <w:right w:val="none" w:sz="0" w:space="0" w:color="3D3D3D"/>
              </w:divBdr>
              <w:divsChild>
                <w:div w:id="1771974548">
                  <w:marLeft w:val="0"/>
                  <w:marRight w:val="0"/>
                  <w:marTop w:val="0"/>
                  <w:marBottom w:val="0"/>
                  <w:divBdr>
                    <w:top w:val="none" w:sz="0" w:space="0" w:color="3D3D3D"/>
                    <w:left w:val="none" w:sz="0" w:space="0" w:color="3D3D3D"/>
                    <w:bottom w:val="none" w:sz="0" w:space="0" w:color="3D3D3D"/>
                    <w:right w:val="none" w:sz="0" w:space="0" w:color="3D3D3D"/>
                  </w:divBdr>
                  <w:divsChild>
                    <w:div w:id="5817914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61355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9719250">
      <w:bodyDiv w:val="1"/>
      <w:marLeft w:val="0"/>
      <w:marRight w:val="0"/>
      <w:marTop w:val="0"/>
      <w:marBottom w:val="0"/>
      <w:divBdr>
        <w:top w:val="none" w:sz="0" w:space="0" w:color="auto"/>
        <w:left w:val="none" w:sz="0" w:space="0" w:color="auto"/>
        <w:bottom w:val="none" w:sz="0" w:space="0" w:color="auto"/>
        <w:right w:val="none" w:sz="0" w:space="0" w:color="auto"/>
      </w:divBdr>
    </w:div>
    <w:div w:id="780031584">
      <w:bodyDiv w:val="1"/>
      <w:marLeft w:val="0"/>
      <w:marRight w:val="0"/>
      <w:marTop w:val="0"/>
      <w:marBottom w:val="0"/>
      <w:divBdr>
        <w:top w:val="none" w:sz="0" w:space="0" w:color="auto"/>
        <w:left w:val="none" w:sz="0" w:space="0" w:color="auto"/>
        <w:bottom w:val="none" w:sz="0" w:space="0" w:color="auto"/>
        <w:right w:val="none" w:sz="0" w:space="0" w:color="auto"/>
      </w:divBdr>
    </w:div>
    <w:div w:id="871696510">
      <w:bodyDiv w:val="1"/>
      <w:marLeft w:val="0"/>
      <w:marRight w:val="0"/>
      <w:marTop w:val="0"/>
      <w:marBottom w:val="0"/>
      <w:divBdr>
        <w:top w:val="none" w:sz="0" w:space="0" w:color="auto"/>
        <w:left w:val="none" w:sz="0" w:space="0" w:color="auto"/>
        <w:bottom w:val="none" w:sz="0" w:space="0" w:color="auto"/>
        <w:right w:val="none" w:sz="0" w:space="0" w:color="auto"/>
      </w:divBdr>
      <w:divsChild>
        <w:div w:id="1353337659">
          <w:marLeft w:val="0"/>
          <w:marRight w:val="0"/>
          <w:marTop w:val="0"/>
          <w:marBottom w:val="0"/>
          <w:divBdr>
            <w:top w:val="none" w:sz="0" w:space="0" w:color="3D3D3D"/>
            <w:left w:val="none" w:sz="0" w:space="0" w:color="3D3D3D"/>
            <w:bottom w:val="none" w:sz="0" w:space="0" w:color="3D3D3D"/>
            <w:right w:val="none" w:sz="0" w:space="0" w:color="3D3D3D"/>
          </w:divBdr>
          <w:divsChild>
            <w:div w:id="1715033994">
              <w:marLeft w:val="0"/>
              <w:marRight w:val="0"/>
              <w:marTop w:val="0"/>
              <w:marBottom w:val="0"/>
              <w:divBdr>
                <w:top w:val="none" w:sz="0" w:space="0" w:color="3D3D3D"/>
                <w:left w:val="none" w:sz="0" w:space="0" w:color="3D3D3D"/>
                <w:bottom w:val="none" w:sz="0" w:space="0" w:color="3D3D3D"/>
                <w:right w:val="none" w:sz="0" w:space="0" w:color="3D3D3D"/>
              </w:divBdr>
              <w:divsChild>
                <w:div w:id="1577544364">
                  <w:marLeft w:val="0"/>
                  <w:marRight w:val="0"/>
                  <w:marTop w:val="0"/>
                  <w:marBottom w:val="0"/>
                  <w:divBdr>
                    <w:top w:val="none" w:sz="0" w:space="0" w:color="3D3D3D"/>
                    <w:left w:val="none" w:sz="0" w:space="0" w:color="3D3D3D"/>
                    <w:bottom w:val="none" w:sz="0" w:space="0" w:color="3D3D3D"/>
                    <w:right w:val="none" w:sz="0" w:space="0" w:color="3D3D3D"/>
                  </w:divBdr>
                </w:div>
              </w:divsChild>
            </w:div>
            <w:div w:id="182322886">
              <w:marLeft w:val="0"/>
              <w:marRight w:val="0"/>
              <w:marTop w:val="240"/>
              <w:marBottom w:val="0"/>
              <w:divBdr>
                <w:top w:val="none" w:sz="0" w:space="0" w:color="3D3D3D"/>
                <w:left w:val="none" w:sz="0" w:space="0" w:color="3D3D3D"/>
                <w:bottom w:val="none" w:sz="0" w:space="0" w:color="3D3D3D"/>
                <w:right w:val="none" w:sz="0" w:space="0" w:color="3D3D3D"/>
              </w:divBdr>
              <w:divsChild>
                <w:div w:id="1612084303">
                  <w:marLeft w:val="0"/>
                  <w:marRight w:val="0"/>
                  <w:marTop w:val="0"/>
                  <w:marBottom w:val="0"/>
                  <w:divBdr>
                    <w:top w:val="none" w:sz="0" w:space="0" w:color="3D3D3D"/>
                    <w:left w:val="none" w:sz="0" w:space="0" w:color="3D3D3D"/>
                    <w:bottom w:val="none" w:sz="0" w:space="0" w:color="3D3D3D"/>
                    <w:right w:val="none" w:sz="0" w:space="0" w:color="3D3D3D"/>
                  </w:divBdr>
                </w:div>
                <w:div w:id="1188759871">
                  <w:marLeft w:val="0"/>
                  <w:marRight w:val="0"/>
                  <w:marTop w:val="0"/>
                  <w:marBottom w:val="0"/>
                  <w:divBdr>
                    <w:top w:val="none" w:sz="0" w:space="0" w:color="3D3D3D"/>
                    <w:left w:val="none" w:sz="0" w:space="12" w:color="3D3D3D"/>
                    <w:bottom w:val="none" w:sz="0" w:space="0" w:color="3D3D3D"/>
                    <w:right w:val="none" w:sz="0" w:space="0" w:color="3D3D3D"/>
                  </w:divBdr>
                  <w:divsChild>
                    <w:div w:id="538932708">
                      <w:marLeft w:val="0"/>
                      <w:marRight w:val="0"/>
                      <w:marTop w:val="0"/>
                      <w:marBottom w:val="0"/>
                      <w:divBdr>
                        <w:top w:val="none" w:sz="0" w:space="0" w:color="3D3D3D"/>
                        <w:left w:val="none" w:sz="0" w:space="0" w:color="3D3D3D"/>
                        <w:bottom w:val="none" w:sz="0" w:space="0" w:color="3D3D3D"/>
                        <w:right w:val="none" w:sz="0" w:space="0" w:color="3D3D3D"/>
                      </w:divBdr>
                    </w:div>
                  </w:divsChild>
                </w:div>
                <w:div w:id="1045983658">
                  <w:marLeft w:val="0"/>
                  <w:marRight w:val="0"/>
                  <w:marTop w:val="240"/>
                  <w:marBottom w:val="0"/>
                  <w:divBdr>
                    <w:top w:val="none" w:sz="0" w:space="0" w:color="3D3D3D"/>
                    <w:left w:val="none" w:sz="0" w:space="27" w:color="3D3D3D"/>
                    <w:bottom w:val="none" w:sz="0" w:space="0" w:color="3D3D3D"/>
                    <w:right w:val="none" w:sz="0" w:space="0" w:color="3D3D3D"/>
                  </w:divBdr>
                  <w:divsChild>
                    <w:div w:id="1033656197">
                      <w:marLeft w:val="0"/>
                      <w:marRight w:val="0"/>
                      <w:marTop w:val="0"/>
                      <w:marBottom w:val="0"/>
                      <w:divBdr>
                        <w:top w:val="none" w:sz="0" w:space="0" w:color="3D3D3D"/>
                        <w:left w:val="none" w:sz="0" w:space="0" w:color="3D3D3D"/>
                        <w:bottom w:val="none" w:sz="0" w:space="0" w:color="3D3D3D"/>
                        <w:right w:val="none" w:sz="0" w:space="0" w:color="3D3D3D"/>
                      </w:divBdr>
                    </w:div>
                  </w:divsChild>
                </w:div>
                <w:div w:id="1764761740">
                  <w:marLeft w:val="0"/>
                  <w:marRight w:val="0"/>
                  <w:marTop w:val="240"/>
                  <w:marBottom w:val="0"/>
                  <w:divBdr>
                    <w:top w:val="none" w:sz="0" w:space="0" w:color="3D3D3D"/>
                    <w:left w:val="none" w:sz="0" w:space="27" w:color="3D3D3D"/>
                    <w:bottom w:val="none" w:sz="0" w:space="0" w:color="3D3D3D"/>
                    <w:right w:val="none" w:sz="0" w:space="0" w:color="3D3D3D"/>
                  </w:divBdr>
                  <w:divsChild>
                    <w:div w:id="663901576">
                      <w:marLeft w:val="0"/>
                      <w:marRight w:val="0"/>
                      <w:marTop w:val="0"/>
                      <w:marBottom w:val="0"/>
                      <w:divBdr>
                        <w:top w:val="none" w:sz="0" w:space="0" w:color="3D3D3D"/>
                        <w:left w:val="none" w:sz="0" w:space="0" w:color="3D3D3D"/>
                        <w:bottom w:val="none" w:sz="0" w:space="0" w:color="3D3D3D"/>
                        <w:right w:val="none" w:sz="0" w:space="0" w:color="3D3D3D"/>
                      </w:divBdr>
                    </w:div>
                  </w:divsChild>
                </w:div>
                <w:div w:id="554854087">
                  <w:marLeft w:val="0"/>
                  <w:marRight w:val="0"/>
                  <w:marTop w:val="0"/>
                  <w:marBottom w:val="0"/>
                  <w:divBdr>
                    <w:top w:val="none" w:sz="0" w:space="0" w:color="3D3D3D"/>
                    <w:left w:val="none" w:sz="0" w:space="0" w:color="3D3D3D"/>
                    <w:bottom w:val="none" w:sz="0" w:space="0" w:color="3D3D3D"/>
                    <w:right w:val="none" w:sz="0" w:space="0" w:color="3D3D3D"/>
                  </w:divBdr>
                </w:div>
              </w:divsChild>
            </w:div>
            <w:div w:id="19008988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5706373">
      <w:bodyDiv w:val="1"/>
      <w:marLeft w:val="0"/>
      <w:marRight w:val="0"/>
      <w:marTop w:val="0"/>
      <w:marBottom w:val="0"/>
      <w:divBdr>
        <w:top w:val="none" w:sz="0" w:space="0" w:color="auto"/>
        <w:left w:val="none" w:sz="0" w:space="0" w:color="auto"/>
        <w:bottom w:val="none" w:sz="0" w:space="0" w:color="auto"/>
        <w:right w:val="none" w:sz="0" w:space="0" w:color="auto"/>
      </w:divBdr>
      <w:divsChild>
        <w:div w:id="286131882">
          <w:marLeft w:val="0"/>
          <w:marRight w:val="0"/>
          <w:marTop w:val="0"/>
          <w:marBottom w:val="0"/>
          <w:divBdr>
            <w:top w:val="none" w:sz="0" w:space="0" w:color="3D3D3D"/>
            <w:left w:val="none" w:sz="0" w:space="0" w:color="3D3D3D"/>
            <w:bottom w:val="none" w:sz="0" w:space="0" w:color="3D3D3D"/>
            <w:right w:val="none" w:sz="0" w:space="0" w:color="3D3D3D"/>
          </w:divBdr>
          <w:divsChild>
            <w:div w:id="8574248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5210078">
      <w:bodyDiv w:val="1"/>
      <w:marLeft w:val="0"/>
      <w:marRight w:val="0"/>
      <w:marTop w:val="0"/>
      <w:marBottom w:val="0"/>
      <w:divBdr>
        <w:top w:val="none" w:sz="0" w:space="0" w:color="auto"/>
        <w:left w:val="none" w:sz="0" w:space="0" w:color="auto"/>
        <w:bottom w:val="none" w:sz="0" w:space="0" w:color="auto"/>
        <w:right w:val="none" w:sz="0" w:space="0" w:color="auto"/>
      </w:divBdr>
      <w:divsChild>
        <w:div w:id="1116172207">
          <w:marLeft w:val="0"/>
          <w:marRight w:val="0"/>
          <w:marTop w:val="0"/>
          <w:marBottom w:val="0"/>
          <w:divBdr>
            <w:top w:val="none" w:sz="0" w:space="0" w:color="3D3D3D"/>
            <w:left w:val="none" w:sz="0" w:space="0" w:color="3D3D3D"/>
            <w:bottom w:val="none" w:sz="0" w:space="0" w:color="3D3D3D"/>
            <w:right w:val="none" w:sz="0" w:space="0" w:color="3D3D3D"/>
          </w:divBdr>
          <w:divsChild>
            <w:div w:id="13033458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8559284">
      <w:bodyDiv w:val="1"/>
      <w:marLeft w:val="0"/>
      <w:marRight w:val="0"/>
      <w:marTop w:val="0"/>
      <w:marBottom w:val="0"/>
      <w:divBdr>
        <w:top w:val="none" w:sz="0" w:space="0" w:color="auto"/>
        <w:left w:val="none" w:sz="0" w:space="0" w:color="auto"/>
        <w:bottom w:val="none" w:sz="0" w:space="0" w:color="auto"/>
        <w:right w:val="none" w:sz="0" w:space="0" w:color="auto"/>
      </w:divBdr>
      <w:divsChild>
        <w:div w:id="244848079">
          <w:marLeft w:val="0"/>
          <w:marRight w:val="0"/>
          <w:marTop w:val="0"/>
          <w:marBottom w:val="0"/>
          <w:divBdr>
            <w:top w:val="none" w:sz="0" w:space="0" w:color="3D3D3D"/>
            <w:left w:val="none" w:sz="0" w:space="0" w:color="3D3D3D"/>
            <w:bottom w:val="none" w:sz="0" w:space="0" w:color="3D3D3D"/>
            <w:right w:val="none" w:sz="0" w:space="0" w:color="3D3D3D"/>
          </w:divBdr>
          <w:divsChild>
            <w:div w:id="2302353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7616653">
      <w:bodyDiv w:val="1"/>
      <w:marLeft w:val="0"/>
      <w:marRight w:val="0"/>
      <w:marTop w:val="0"/>
      <w:marBottom w:val="0"/>
      <w:divBdr>
        <w:top w:val="none" w:sz="0" w:space="0" w:color="auto"/>
        <w:left w:val="none" w:sz="0" w:space="0" w:color="auto"/>
        <w:bottom w:val="none" w:sz="0" w:space="0" w:color="auto"/>
        <w:right w:val="none" w:sz="0" w:space="0" w:color="auto"/>
      </w:divBdr>
      <w:divsChild>
        <w:div w:id="7372373">
          <w:marLeft w:val="0"/>
          <w:marRight w:val="0"/>
          <w:marTop w:val="0"/>
          <w:marBottom w:val="0"/>
          <w:divBdr>
            <w:top w:val="none" w:sz="0" w:space="0" w:color="3D3D3D"/>
            <w:left w:val="none" w:sz="0" w:space="0" w:color="3D3D3D"/>
            <w:bottom w:val="none" w:sz="0" w:space="0" w:color="3D3D3D"/>
            <w:right w:val="none" w:sz="0" w:space="0" w:color="3D3D3D"/>
          </w:divBdr>
          <w:divsChild>
            <w:div w:id="2265002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7385866">
      <w:bodyDiv w:val="1"/>
      <w:marLeft w:val="0"/>
      <w:marRight w:val="0"/>
      <w:marTop w:val="0"/>
      <w:marBottom w:val="0"/>
      <w:divBdr>
        <w:top w:val="none" w:sz="0" w:space="0" w:color="auto"/>
        <w:left w:val="none" w:sz="0" w:space="0" w:color="auto"/>
        <w:bottom w:val="none" w:sz="0" w:space="0" w:color="auto"/>
        <w:right w:val="none" w:sz="0" w:space="0" w:color="auto"/>
      </w:divBdr>
      <w:divsChild>
        <w:div w:id="714356952">
          <w:marLeft w:val="0"/>
          <w:marRight w:val="0"/>
          <w:marTop w:val="0"/>
          <w:marBottom w:val="0"/>
          <w:divBdr>
            <w:top w:val="none" w:sz="0" w:space="0" w:color="3D3D3D"/>
            <w:left w:val="none" w:sz="0" w:space="0" w:color="3D3D3D"/>
            <w:bottom w:val="none" w:sz="0" w:space="0" w:color="3D3D3D"/>
            <w:right w:val="none" w:sz="0" w:space="0" w:color="3D3D3D"/>
          </w:divBdr>
          <w:divsChild>
            <w:div w:id="17107582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2560336">
      <w:bodyDiv w:val="1"/>
      <w:marLeft w:val="0"/>
      <w:marRight w:val="0"/>
      <w:marTop w:val="0"/>
      <w:marBottom w:val="0"/>
      <w:divBdr>
        <w:top w:val="none" w:sz="0" w:space="0" w:color="auto"/>
        <w:left w:val="none" w:sz="0" w:space="0" w:color="auto"/>
        <w:bottom w:val="none" w:sz="0" w:space="0" w:color="auto"/>
        <w:right w:val="none" w:sz="0" w:space="0" w:color="auto"/>
      </w:divBdr>
      <w:divsChild>
        <w:div w:id="344406702">
          <w:marLeft w:val="0"/>
          <w:marRight w:val="0"/>
          <w:marTop w:val="0"/>
          <w:marBottom w:val="0"/>
          <w:divBdr>
            <w:top w:val="none" w:sz="0" w:space="0" w:color="3D3D3D"/>
            <w:left w:val="none" w:sz="0" w:space="0" w:color="3D3D3D"/>
            <w:bottom w:val="none" w:sz="0" w:space="0" w:color="3D3D3D"/>
            <w:right w:val="none" w:sz="0" w:space="0" w:color="3D3D3D"/>
          </w:divBdr>
        </w:div>
      </w:divsChild>
    </w:div>
    <w:div w:id="1106655557">
      <w:bodyDiv w:val="1"/>
      <w:marLeft w:val="0"/>
      <w:marRight w:val="0"/>
      <w:marTop w:val="0"/>
      <w:marBottom w:val="0"/>
      <w:divBdr>
        <w:top w:val="none" w:sz="0" w:space="0" w:color="auto"/>
        <w:left w:val="none" w:sz="0" w:space="0" w:color="auto"/>
        <w:bottom w:val="none" w:sz="0" w:space="0" w:color="auto"/>
        <w:right w:val="none" w:sz="0" w:space="0" w:color="auto"/>
      </w:divBdr>
      <w:divsChild>
        <w:div w:id="1719085731">
          <w:marLeft w:val="0"/>
          <w:marRight w:val="0"/>
          <w:marTop w:val="0"/>
          <w:marBottom w:val="0"/>
          <w:divBdr>
            <w:top w:val="none" w:sz="0" w:space="0" w:color="3D3D3D"/>
            <w:left w:val="none" w:sz="0" w:space="0" w:color="3D3D3D"/>
            <w:bottom w:val="none" w:sz="0" w:space="0" w:color="3D3D3D"/>
            <w:right w:val="none" w:sz="0" w:space="0" w:color="3D3D3D"/>
          </w:divBdr>
          <w:divsChild>
            <w:div w:id="20849868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0274418">
      <w:bodyDiv w:val="1"/>
      <w:marLeft w:val="0"/>
      <w:marRight w:val="0"/>
      <w:marTop w:val="0"/>
      <w:marBottom w:val="0"/>
      <w:divBdr>
        <w:top w:val="none" w:sz="0" w:space="0" w:color="auto"/>
        <w:left w:val="none" w:sz="0" w:space="0" w:color="auto"/>
        <w:bottom w:val="none" w:sz="0" w:space="0" w:color="auto"/>
        <w:right w:val="none" w:sz="0" w:space="0" w:color="auto"/>
      </w:divBdr>
    </w:div>
    <w:div w:id="1117871428">
      <w:bodyDiv w:val="1"/>
      <w:marLeft w:val="0"/>
      <w:marRight w:val="0"/>
      <w:marTop w:val="0"/>
      <w:marBottom w:val="0"/>
      <w:divBdr>
        <w:top w:val="none" w:sz="0" w:space="0" w:color="auto"/>
        <w:left w:val="none" w:sz="0" w:space="0" w:color="auto"/>
        <w:bottom w:val="none" w:sz="0" w:space="0" w:color="auto"/>
        <w:right w:val="none" w:sz="0" w:space="0" w:color="auto"/>
      </w:divBdr>
      <w:divsChild>
        <w:div w:id="450511585">
          <w:marLeft w:val="0"/>
          <w:marRight w:val="0"/>
          <w:marTop w:val="0"/>
          <w:marBottom w:val="0"/>
          <w:divBdr>
            <w:top w:val="none" w:sz="0" w:space="0" w:color="3D3D3D"/>
            <w:left w:val="none" w:sz="0" w:space="0" w:color="3D3D3D"/>
            <w:bottom w:val="none" w:sz="0" w:space="0" w:color="3D3D3D"/>
            <w:right w:val="none" w:sz="0" w:space="0" w:color="3D3D3D"/>
          </w:divBdr>
          <w:divsChild>
            <w:div w:id="8547298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1070728">
      <w:bodyDiv w:val="1"/>
      <w:marLeft w:val="0"/>
      <w:marRight w:val="0"/>
      <w:marTop w:val="0"/>
      <w:marBottom w:val="0"/>
      <w:divBdr>
        <w:top w:val="none" w:sz="0" w:space="0" w:color="auto"/>
        <w:left w:val="none" w:sz="0" w:space="0" w:color="auto"/>
        <w:bottom w:val="none" w:sz="0" w:space="0" w:color="auto"/>
        <w:right w:val="none" w:sz="0" w:space="0" w:color="auto"/>
      </w:divBdr>
      <w:divsChild>
        <w:div w:id="943194818">
          <w:marLeft w:val="0"/>
          <w:marRight w:val="0"/>
          <w:marTop w:val="0"/>
          <w:marBottom w:val="0"/>
          <w:divBdr>
            <w:top w:val="none" w:sz="0" w:space="0" w:color="3D3D3D"/>
            <w:left w:val="none" w:sz="0" w:space="0" w:color="3D3D3D"/>
            <w:bottom w:val="none" w:sz="0" w:space="0" w:color="3D3D3D"/>
            <w:right w:val="none" w:sz="0" w:space="0" w:color="3D3D3D"/>
          </w:divBdr>
        </w:div>
      </w:divsChild>
    </w:div>
    <w:div w:id="1141117561">
      <w:bodyDiv w:val="1"/>
      <w:marLeft w:val="0"/>
      <w:marRight w:val="0"/>
      <w:marTop w:val="0"/>
      <w:marBottom w:val="0"/>
      <w:divBdr>
        <w:top w:val="none" w:sz="0" w:space="0" w:color="auto"/>
        <w:left w:val="none" w:sz="0" w:space="0" w:color="auto"/>
        <w:bottom w:val="none" w:sz="0" w:space="0" w:color="auto"/>
        <w:right w:val="none" w:sz="0" w:space="0" w:color="auto"/>
      </w:divBdr>
      <w:divsChild>
        <w:div w:id="1570799156">
          <w:marLeft w:val="0"/>
          <w:marRight w:val="0"/>
          <w:marTop w:val="0"/>
          <w:marBottom w:val="0"/>
          <w:divBdr>
            <w:top w:val="none" w:sz="0" w:space="0" w:color="3D3D3D"/>
            <w:left w:val="none" w:sz="0" w:space="0" w:color="3D3D3D"/>
            <w:bottom w:val="none" w:sz="0" w:space="0" w:color="3D3D3D"/>
            <w:right w:val="none" w:sz="0" w:space="0" w:color="3D3D3D"/>
          </w:divBdr>
          <w:divsChild>
            <w:div w:id="11343254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1912950">
      <w:bodyDiv w:val="1"/>
      <w:marLeft w:val="0"/>
      <w:marRight w:val="0"/>
      <w:marTop w:val="0"/>
      <w:marBottom w:val="0"/>
      <w:divBdr>
        <w:top w:val="none" w:sz="0" w:space="0" w:color="auto"/>
        <w:left w:val="none" w:sz="0" w:space="0" w:color="auto"/>
        <w:bottom w:val="none" w:sz="0" w:space="0" w:color="auto"/>
        <w:right w:val="none" w:sz="0" w:space="0" w:color="auto"/>
      </w:divBdr>
    </w:div>
    <w:div w:id="1304122519">
      <w:bodyDiv w:val="1"/>
      <w:marLeft w:val="0"/>
      <w:marRight w:val="0"/>
      <w:marTop w:val="0"/>
      <w:marBottom w:val="0"/>
      <w:divBdr>
        <w:top w:val="none" w:sz="0" w:space="0" w:color="auto"/>
        <w:left w:val="none" w:sz="0" w:space="0" w:color="auto"/>
        <w:bottom w:val="none" w:sz="0" w:space="0" w:color="auto"/>
        <w:right w:val="none" w:sz="0" w:space="0" w:color="auto"/>
      </w:divBdr>
    </w:div>
    <w:div w:id="1377774792">
      <w:bodyDiv w:val="1"/>
      <w:marLeft w:val="0"/>
      <w:marRight w:val="0"/>
      <w:marTop w:val="0"/>
      <w:marBottom w:val="0"/>
      <w:divBdr>
        <w:top w:val="none" w:sz="0" w:space="0" w:color="auto"/>
        <w:left w:val="none" w:sz="0" w:space="0" w:color="auto"/>
        <w:bottom w:val="none" w:sz="0" w:space="0" w:color="auto"/>
        <w:right w:val="none" w:sz="0" w:space="0" w:color="auto"/>
      </w:divBdr>
      <w:divsChild>
        <w:div w:id="1980961288">
          <w:marLeft w:val="0"/>
          <w:marRight w:val="0"/>
          <w:marTop w:val="0"/>
          <w:marBottom w:val="0"/>
          <w:divBdr>
            <w:top w:val="none" w:sz="0" w:space="0" w:color="3D3D3D"/>
            <w:left w:val="none" w:sz="0" w:space="0" w:color="3D3D3D"/>
            <w:bottom w:val="none" w:sz="0" w:space="0" w:color="3D3D3D"/>
            <w:right w:val="none" w:sz="0" w:space="0" w:color="3D3D3D"/>
          </w:divBdr>
          <w:divsChild>
            <w:div w:id="3938154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86565640">
      <w:bodyDiv w:val="1"/>
      <w:marLeft w:val="0"/>
      <w:marRight w:val="0"/>
      <w:marTop w:val="0"/>
      <w:marBottom w:val="0"/>
      <w:divBdr>
        <w:top w:val="none" w:sz="0" w:space="0" w:color="auto"/>
        <w:left w:val="none" w:sz="0" w:space="0" w:color="auto"/>
        <w:bottom w:val="none" w:sz="0" w:space="0" w:color="auto"/>
        <w:right w:val="none" w:sz="0" w:space="0" w:color="auto"/>
      </w:divBdr>
      <w:divsChild>
        <w:div w:id="637688907">
          <w:marLeft w:val="0"/>
          <w:marRight w:val="0"/>
          <w:marTop w:val="0"/>
          <w:marBottom w:val="0"/>
          <w:divBdr>
            <w:top w:val="none" w:sz="0" w:space="0" w:color="3D3D3D"/>
            <w:left w:val="none" w:sz="0" w:space="0" w:color="3D3D3D"/>
            <w:bottom w:val="none" w:sz="0" w:space="0" w:color="3D3D3D"/>
            <w:right w:val="none" w:sz="0" w:space="0" w:color="3D3D3D"/>
          </w:divBdr>
          <w:divsChild>
            <w:div w:id="9001386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2144702">
      <w:bodyDiv w:val="1"/>
      <w:marLeft w:val="0"/>
      <w:marRight w:val="0"/>
      <w:marTop w:val="0"/>
      <w:marBottom w:val="0"/>
      <w:divBdr>
        <w:top w:val="none" w:sz="0" w:space="0" w:color="auto"/>
        <w:left w:val="none" w:sz="0" w:space="0" w:color="auto"/>
        <w:bottom w:val="none" w:sz="0" w:space="0" w:color="auto"/>
        <w:right w:val="none" w:sz="0" w:space="0" w:color="auto"/>
      </w:divBdr>
      <w:divsChild>
        <w:div w:id="481505893">
          <w:marLeft w:val="0"/>
          <w:marRight w:val="0"/>
          <w:marTop w:val="0"/>
          <w:marBottom w:val="0"/>
          <w:divBdr>
            <w:top w:val="none" w:sz="0" w:space="0" w:color="3D3D3D"/>
            <w:left w:val="none" w:sz="0" w:space="0" w:color="3D3D3D"/>
            <w:bottom w:val="none" w:sz="0" w:space="0" w:color="3D3D3D"/>
            <w:right w:val="none" w:sz="0" w:space="0" w:color="3D3D3D"/>
          </w:divBdr>
          <w:divsChild>
            <w:div w:id="16496304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5601245">
      <w:bodyDiv w:val="1"/>
      <w:marLeft w:val="0"/>
      <w:marRight w:val="0"/>
      <w:marTop w:val="0"/>
      <w:marBottom w:val="0"/>
      <w:divBdr>
        <w:top w:val="none" w:sz="0" w:space="0" w:color="auto"/>
        <w:left w:val="none" w:sz="0" w:space="0" w:color="auto"/>
        <w:bottom w:val="none" w:sz="0" w:space="0" w:color="auto"/>
        <w:right w:val="none" w:sz="0" w:space="0" w:color="auto"/>
      </w:divBdr>
    </w:div>
    <w:div w:id="1601909901">
      <w:bodyDiv w:val="1"/>
      <w:marLeft w:val="0"/>
      <w:marRight w:val="0"/>
      <w:marTop w:val="0"/>
      <w:marBottom w:val="0"/>
      <w:divBdr>
        <w:top w:val="none" w:sz="0" w:space="0" w:color="auto"/>
        <w:left w:val="none" w:sz="0" w:space="0" w:color="auto"/>
        <w:bottom w:val="none" w:sz="0" w:space="0" w:color="auto"/>
        <w:right w:val="none" w:sz="0" w:space="0" w:color="auto"/>
      </w:divBdr>
      <w:divsChild>
        <w:div w:id="858159272">
          <w:marLeft w:val="0"/>
          <w:marRight w:val="0"/>
          <w:marTop w:val="0"/>
          <w:marBottom w:val="0"/>
          <w:divBdr>
            <w:top w:val="none" w:sz="0" w:space="0" w:color="3D3D3D"/>
            <w:left w:val="none" w:sz="0" w:space="0" w:color="3D3D3D"/>
            <w:bottom w:val="none" w:sz="0" w:space="0" w:color="3D3D3D"/>
            <w:right w:val="none" w:sz="0" w:space="0" w:color="3D3D3D"/>
          </w:divBdr>
        </w:div>
      </w:divsChild>
    </w:div>
    <w:div w:id="1672677033">
      <w:bodyDiv w:val="1"/>
      <w:marLeft w:val="0"/>
      <w:marRight w:val="0"/>
      <w:marTop w:val="0"/>
      <w:marBottom w:val="0"/>
      <w:divBdr>
        <w:top w:val="none" w:sz="0" w:space="0" w:color="auto"/>
        <w:left w:val="none" w:sz="0" w:space="0" w:color="auto"/>
        <w:bottom w:val="none" w:sz="0" w:space="0" w:color="auto"/>
        <w:right w:val="none" w:sz="0" w:space="0" w:color="auto"/>
      </w:divBdr>
    </w:div>
    <w:div w:id="1680736683">
      <w:bodyDiv w:val="1"/>
      <w:marLeft w:val="0"/>
      <w:marRight w:val="0"/>
      <w:marTop w:val="0"/>
      <w:marBottom w:val="0"/>
      <w:divBdr>
        <w:top w:val="none" w:sz="0" w:space="0" w:color="auto"/>
        <w:left w:val="none" w:sz="0" w:space="0" w:color="auto"/>
        <w:bottom w:val="none" w:sz="0" w:space="0" w:color="auto"/>
        <w:right w:val="none" w:sz="0" w:space="0" w:color="auto"/>
      </w:divBdr>
      <w:divsChild>
        <w:div w:id="115104133">
          <w:marLeft w:val="0"/>
          <w:marRight w:val="0"/>
          <w:marTop w:val="0"/>
          <w:marBottom w:val="0"/>
          <w:divBdr>
            <w:top w:val="none" w:sz="0" w:space="0" w:color="3D3D3D"/>
            <w:left w:val="none" w:sz="0" w:space="0" w:color="3D3D3D"/>
            <w:bottom w:val="none" w:sz="0" w:space="0" w:color="3D3D3D"/>
            <w:right w:val="none" w:sz="0" w:space="0" w:color="3D3D3D"/>
          </w:divBdr>
          <w:divsChild>
            <w:div w:id="7020506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54276295">
      <w:bodyDiv w:val="1"/>
      <w:marLeft w:val="0"/>
      <w:marRight w:val="0"/>
      <w:marTop w:val="0"/>
      <w:marBottom w:val="0"/>
      <w:divBdr>
        <w:top w:val="none" w:sz="0" w:space="0" w:color="auto"/>
        <w:left w:val="none" w:sz="0" w:space="0" w:color="auto"/>
        <w:bottom w:val="none" w:sz="0" w:space="0" w:color="auto"/>
        <w:right w:val="none" w:sz="0" w:space="0" w:color="auto"/>
      </w:divBdr>
      <w:divsChild>
        <w:div w:id="1709260907">
          <w:marLeft w:val="0"/>
          <w:marRight w:val="0"/>
          <w:marTop w:val="0"/>
          <w:marBottom w:val="0"/>
          <w:divBdr>
            <w:top w:val="none" w:sz="0" w:space="0" w:color="3D3D3D"/>
            <w:left w:val="none" w:sz="0" w:space="0" w:color="3D3D3D"/>
            <w:bottom w:val="none" w:sz="0" w:space="0" w:color="3D3D3D"/>
            <w:right w:val="none" w:sz="0" w:space="0" w:color="3D3D3D"/>
          </w:divBdr>
          <w:divsChild>
            <w:div w:id="1193006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55933442">
      <w:bodyDiv w:val="1"/>
      <w:marLeft w:val="0"/>
      <w:marRight w:val="0"/>
      <w:marTop w:val="0"/>
      <w:marBottom w:val="0"/>
      <w:divBdr>
        <w:top w:val="none" w:sz="0" w:space="0" w:color="auto"/>
        <w:left w:val="none" w:sz="0" w:space="0" w:color="auto"/>
        <w:bottom w:val="none" w:sz="0" w:space="0" w:color="auto"/>
        <w:right w:val="none" w:sz="0" w:space="0" w:color="auto"/>
      </w:divBdr>
      <w:divsChild>
        <w:div w:id="2041778376">
          <w:marLeft w:val="0"/>
          <w:marRight w:val="0"/>
          <w:marTop w:val="0"/>
          <w:marBottom w:val="0"/>
          <w:divBdr>
            <w:top w:val="none" w:sz="0" w:space="0" w:color="3D3D3D"/>
            <w:left w:val="none" w:sz="0" w:space="0" w:color="3D3D3D"/>
            <w:bottom w:val="none" w:sz="0" w:space="0" w:color="3D3D3D"/>
            <w:right w:val="none" w:sz="0" w:space="0" w:color="3D3D3D"/>
          </w:divBdr>
        </w:div>
      </w:divsChild>
    </w:div>
    <w:div w:id="1861777711">
      <w:bodyDiv w:val="1"/>
      <w:marLeft w:val="0"/>
      <w:marRight w:val="0"/>
      <w:marTop w:val="0"/>
      <w:marBottom w:val="0"/>
      <w:divBdr>
        <w:top w:val="none" w:sz="0" w:space="0" w:color="auto"/>
        <w:left w:val="none" w:sz="0" w:space="0" w:color="auto"/>
        <w:bottom w:val="none" w:sz="0" w:space="0" w:color="auto"/>
        <w:right w:val="none" w:sz="0" w:space="0" w:color="auto"/>
      </w:divBdr>
    </w:div>
    <w:div w:id="1873574485">
      <w:bodyDiv w:val="1"/>
      <w:marLeft w:val="0"/>
      <w:marRight w:val="0"/>
      <w:marTop w:val="0"/>
      <w:marBottom w:val="0"/>
      <w:divBdr>
        <w:top w:val="none" w:sz="0" w:space="0" w:color="auto"/>
        <w:left w:val="none" w:sz="0" w:space="0" w:color="auto"/>
        <w:bottom w:val="none" w:sz="0" w:space="0" w:color="auto"/>
        <w:right w:val="none" w:sz="0" w:space="0" w:color="auto"/>
      </w:divBdr>
      <w:divsChild>
        <w:div w:id="455682641">
          <w:marLeft w:val="0"/>
          <w:marRight w:val="0"/>
          <w:marTop w:val="0"/>
          <w:marBottom w:val="0"/>
          <w:divBdr>
            <w:top w:val="none" w:sz="0" w:space="0" w:color="3D3D3D"/>
            <w:left w:val="none" w:sz="0" w:space="0" w:color="3D3D3D"/>
            <w:bottom w:val="none" w:sz="0" w:space="0" w:color="3D3D3D"/>
            <w:right w:val="none" w:sz="0" w:space="0" w:color="3D3D3D"/>
          </w:divBdr>
        </w:div>
      </w:divsChild>
    </w:div>
    <w:div w:id="1949123690">
      <w:bodyDiv w:val="1"/>
      <w:marLeft w:val="0"/>
      <w:marRight w:val="0"/>
      <w:marTop w:val="0"/>
      <w:marBottom w:val="0"/>
      <w:divBdr>
        <w:top w:val="none" w:sz="0" w:space="0" w:color="auto"/>
        <w:left w:val="none" w:sz="0" w:space="0" w:color="auto"/>
        <w:bottom w:val="none" w:sz="0" w:space="0" w:color="auto"/>
        <w:right w:val="none" w:sz="0" w:space="0" w:color="auto"/>
      </w:divBdr>
      <w:divsChild>
        <w:div w:id="88157253">
          <w:marLeft w:val="0"/>
          <w:marRight w:val="0"/>
          <w:marTop w:val="0"/>
          <w:marBottom w:val="0"/>
          <w:divBdr>
            <w:top w:val="none" w:sz="0" w:space="0" w:color="3D3D3D"/>
            <w:left w:val="none" w:sz="0" w:space="0" w:color="3D3D3D"/>
            <w:bottom w:val="none" w:sz="0" w:space="0" w:color="3D3D3D"/>
            <w:right w:val="none" w:sz="0" w:space="0" w:color="3D3D3D"/>
          </w:divBdr>
          <w:divsChild>
            <w:div w:id="5940508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4998345">
      <w:bodyDiv w:val="1"/>
      <w:marLeft w:val="0"/>
      <w:marRight w:val="0"/>
      <w:marTop w:val="0"/>
      <w:marBottom w:val="0"/>
      <w:divBdr>
        <w:top w:val="none" w:sz="0" w:space="0" w:color="auto"/>
        <w:left w:val="none" w:sz="0" w:space="0" w:color="auto"/>
        <w:bottom w:val="none" w:sz="0" w:space="0" w:color="auto"/>
        <w:right w:val="none" w:sz="0" w:space="0" w:color="auto"/>
      </w:divBdr>
      <w:divsChild>
        <w:div w:id="1720858641">
          <w:marLeft w:val="0"/>
          <w:marRight w:val="0"/>
          <w:marTop w:val="0"/>
          <w:marBottom w:val="0"/>
          <w:divBdr>
            <w:top w:val="none" w:sz="0" w:space="0" w:color="3D3D3D"/>
            <w:left w:val="none" w:sz="0" w:space="0" w:color="3D3D3D"/>
            <w:bottom w:val="none" w:sz="0" w:space="0" w:color="3D3D3D"/>
            <w:right w:val="none" w:sz="0" w:space="0" w:color="3D3D3D"/>
          </w:divBdr>
        </w:div>
      </w:divsChild>
    </w:div>
    <w:div w:id="2038002235">
      <w:bodyDiv w:val="1"/>
      <w:marLeft w:val="0"/>
      <w:marRight w:val="0"/>
      <w:marTop w:val="0"/>
      <w:marBottom w:val="0"/>
      <w:divBdr>
        <w:top w:val="none" w:sz="0" w:space="0" w:color="auto"/>
        <w:left w:val="none" w:sz="0" w:space="0" w:color="auto"/>
        <w:bottom w:val="none" w:sz="0" w:space="0" w:color="auto"/>
        <w:right w:val="none" w:sz="0" w:space="0" w:color="auto"/>
      </w:divBdr>
      <w:divsChild>
        <w:div w:id="112555570">
          <w:marLeft w:val="0"/>
          <w:marRight w:val="0"/>
          <w:marTop w:val="0"/>
          <w:marBottom w:val="0"/>
          <w:divBdr>
            <w:top w:val="none" w:sz="0" w:space="0" w:color="3D3D3D"/>
            <w:left w:val="none" w:sz="0" w:space="0" w:color="3D3D3D"/>
            <w:bottom w:val="none" w:sz="0" w:space="0" w:color="3D3D3D"/>
            <w:right w:val="none" w:sz="0" w:space="0" w:color="3D3D3D"/>
          </w:divBdr>
          <w:divsChild>
            <w:div w:id="13796677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2781054">
      <w:bodyDiv w:val="1"/>
      <w:marLeft w:val="0"/>
      <w:marRight w:val="0"/>
      <w:marTop w:val="0"/>
      <w:marBottom w:val="0"/>
      <w:divBdr>
        <w:top w:val="none" w:sz="0" w:space="0" w:color="auto"/>
        <w:left w:val="none" w:sz="0" w:space="0" w:color="auto"/>
        <w:bottom w:val="none" w:sz="0" w:space="0" w:color="auto"/>
        <w:right w:val="none" w:sz="0" w:space="0" w:color="auto"/>
      </w:divBdr>
      <w:divsChild>
        <w:div w:id="328991944">
          <w:marLeft w:val="0"/>
          <w:marRight w:val="0"/>
          <w:marTop w:val="0"/>
          <w:marBottom w:val="0"/>
          <w:divBdr>
            <w:top w:val="none" w:sz="0" w:space="0" w:color="3D3D3D"/>
            <w:left w:val="none" w:sz="0" w:space="0" w:color="3D3D3D"/>
            <w:bottom w:val="none" w:sz="0" w:space="0" w:color="3D3D3D"/>
            <w:right w:val="none" w:sz="0" w:space="0" w:color="3D3D3D"/>
          </w:divBdr>
          <w:divsChild>
            <w:div w:id="6576593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05763141">
      <w:bodyDiv w:val="1"/>
      <w:marLeft w:val="0"/>
      <w:marRight w:val="0"/>
      <w:marTop w:val="0"/>
      <w:marBottom w:val="0"/>
      <w:divBdr>
        <w:top w:val="none" w:sz="0" w:space="0" w:color="auto"/>
        <w:left w:val="none" w:sz="0" w:space="0" w:color="auto"/>
        <w:bottom w:val="none" w:sz="0" w:space="0" w:color="auto"/>
        <w:right w:val="none" w:sz="0" w:space="0" w:color="auto"/>
      </w:divBdr>
      <w:divsChild>
        <w:div w:id="663049065">
          <w:marLeft w:val="0"/>
          <w:marRight w:val="0"/>
          <w:marTop w:val="0"/>
          <w:marBottom w:val="0"/>
          <w:divBdr>
            <w:top w:val="none" w:sz="0" w:space="0" w:color="3D3D3D"/>
            <w:left w:val="none" w:sz="0" w:space="0" w:color="3D3D3D"/>
            <w:bottom w:val="none" w:sz="0" w:space="0" w:color="3D3D3D"/>
            <w:right w:val="none" w:sz="0" w:space="0" w:color="3D3D3D"/>
          </w:divBdr>
          <w:divsChild>
            <w:div w:id="849637808">
              <w:marLeft w:val="0"/>
              <w:marRight w:val="0"/>
              <w:marTop w:val="0"/>
              <w:marBottom w:val="0"/>
              <w:divBdr>
                <w:top w:val="none" w:sz="0" w:space="0" w:color="3D3D3D"/>
                <w:left w:val="none" w:sz="0" w:space="0" w:color="3D3D3D"/>
                <w:bottom w:val="none" w:sz="0" w:space="0" w:color="3D3D3D"/>
                <w:right w:val="none" w:sz="0" w:space="0" w:color="3D3D3D"/>
              </w:divBdr>
              <w:divsChild>
                <w:div w:id="2135173044">
                  <w:marLeft w:val="0"/>
                  <w:marRight w:val="0"/>
                  <w:marTop w:val="0"/>
                  <w:marBottom w:val="0"/>
                  <w:divBdr>
                    <w:top w:val="none" w:sz="0" w:space="0" w:color="3D3D3D"/>
                    <w:left w:val="none" w:sz="0" w:space="0" w:color="3D3D3D"/>
                    <w:bottom w:val="none" w:sz="0" w:space="0" w:color="3D3D3D"/>
                    <w:right w:val="none" w:sz="0" w:space="0" w:color="3D3D3D"/>
                  </w:divBdr>
                  <w:divsChild>
                    <w:div w:id="13008435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2144690570">
      <w:bodyDiv w:val="1"/>
      <w:marLeft w:val="0"/>
      <w:marRight w:val="0"/>
      <w:marTop w:val="0"/>
      <w:marBottom w:val="0"/>
      <w:divBdr>
        <w:top w:val="none" w:sz="0" w:space="0" w:color="auto"/>
        <w:left w:val="none" w:sz="0" w:space="0" w:color="auto"/>
        <w:bottom w:val="none" w:sz="0" w:space="0" w:color="auto"/>
        <w:right w:val="none" w:sz="0" w:space="0" w:color="auto"/>
      </w:divBdr>
      <w:divsChild>
        <w:div w:id="1170679323">
          <w:marLeft w:val="0"/>
          <w:marRight w:val="0"/>
          <w:marTop w:val="0"/>
          <w:marBottom w:val="0"/>
          <w:divBdr>
            <w:top w:val="none" w:sz="0" w:space="0" w:color="3D3D3D"/>
            <w:left w:val="none" w:sz="0" w:space="0" w:color="3D3D3D"/>
            <w:bottom w:val="none" w:sz="0" w:space="0" w:color="3D3D3D"/>
            <w:right w:val="none" w:sz="0" w:space="0" w:color="3D3D3D"/>
          </w:divBdr>
          <w:divsChild>
            <w:div w:id="757840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 Q u i n n E m a n u e l ! 1 4 8 6 8 5 2 5 . 3 < / d o c u m e n t i d >  
     < s e n d e r i d > J O A N N A C A Y T A S < / s e n d e r i d >  
     < s e n d e r e m a i l > J O A N N A C A Y T A S @ Q U I N N E M A N U E L . C O M < / s e n d e r e m a i l >  
     < l a s t m o d i f i e d > 2 0 2 4 - 0 4 - 3 0 T 2 1 : 3 9 : 0 0 . 0 0 0 0 0 0 0 - 0 5 : 0 0 < / l a s t m o d i f i e d >  
     < d a t a b a s e > Q u i n n E m a n u e l < / d a t a b a s e >  
 < / 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C5FFF0-CC74-45A8-8A4E-527B25DED3AF}">
  <ds:schemaRefs>
    <ds:schemaRef ds:uri="http://www.imanage.com/work/xmlschema"/>
  </ds:schemaRefs>
</ds:datastoreItem>
</file>

<file path=customXml/itemProps2.xml><?xml version="1.0" encoding="utf-8"?>
<ds:datastoreItem xmlns:ds="http://schemas.openxmlformats.org/officeDocument/2006/customXml" ds:itemID="{5F83FA23-510A-4B7F-AF26-CAD07234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1447</Words>
  <Characters>7641</Characters>
  <Application>Microsoft Office Word</Application>
  <DocSecurity>0</DocSecurity>
  <Lines>141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Caytas</dc:creator>
  <cp:keywords/>
  <dc:description/>
  <cp:lastModifiedBy>Joanna Caytas</cp:lastModifiedBy>
  <cp:revision>6</cp:revision>
  <dcterms:created xsi:type="dcterms:W3CDTF">2024-05-01T05:24:00Z</dcterms:created>
  <dcterms:modified xsi:type="dcterms:W3CDTF">2024-05-01T06:00:00Z</dcterms:modified>
</cp:coreProperties>
</file>